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8CFAE" w14:textId="0EF3B4B6" w:rsidR="00AF0468" w:rsidRDefault="0006621C" w:rsidP="000541F8">
      <w:pPr>
        <w:spacing w:after="0" w:line="240" w:lineRule="auto"/>
        <w:jc w:val="center"/>
        <w:rPr>
          <w:rFonts w:ascii="Arial" w:eastAsia="Times New Roman" w:hAnsi="Arial" w:cs="Arial"/>
          <w:b/>
          <w:bCs/>
          <w:color w:val="1F1F1F"/>
          <w:kern w:val="0"/>
          <w:sz w:val="28"/>
          <w:szCs w:val="28"/>
          <w:bdr w:val="none" w:sz="0" w:space="0" w:color="auto" w:frame="1"/>
          <w:lang w:eastAsia="es-CL"/>
          <w14:ligatures w14:val="none"/>
        </w:rPr>
      </w:pPr>
      <w:r w:rsidRPr="0006621C">
        <w:rPr>
          <w:rFonts w:ascii="Arial" w:eastAsia="Times New Roman" w:hAnsi="Arial" w:cs="Arial"/>
          <w:b/>
          <w:bCs/>
          <w:color w:val="1F1F1F"/>
          <w:kern w:val="0"/>
          <w:sz w:val="28"/>
          <w:szCs w:val="28"/>
          <w:bdr w:val="none" w:sz="0" w:space="0" w:color="auto" w:frame="1"/>
          <w:lang w:eastAsia="es-CL"/>
          <w14:ligatures w14:val="none"/>
        </w:rPr>
        <w:t>A</w:t>
      </w:r>
      <w:r w:rsidR="00AF0468" w:rsidRPr="0006621C">
        <w:rPr>
          <w:rFonts w:ascii="Arial" w:eastAsia="Times New Roman" w:hAnsi="Arial" w:cs="Arial"/>
          <w:b/>
          <w:bCs/>
          <w:color w:val="1F1F1F"/>
          <w:kern w:val="0"/>
          <w:sz w:val="28"/>
          <w:szCs w:val="28"/>
          <w:bdr w:val="none" w:sz="0" w:space="0" w:color="auto" w:frame="1"/>
          <w:lang w:eastAsia="es-CL"/>
          <w14:ligatures w14:val="none"/>
        </w:rPr>
        <w:t xml:space="preserve">nálisis </w:t>
      </w:r>
      <w:r w:rsidRPr="0006621C">
        <w:rPr>
          <w:rFonts w:ascii="Arial" w:eastAsia="Times New Roman" w:hAnsi="Arial" w:cs="Arial"/>
          <w:b/>
          <w:bCs/>
          <w:color w:val="1F1F1F"/>
          <w:kern w:val="0"/>
          <w:sz w:val="28"/>
          <w:szCs w:val="28"/>
          <w:bdr w:val="none" w:sz="0" w:space="0" w:color="auto" w:frame="1"/>
          <w:lang w:eastAsia="es-CL"/>
          <w14:ligatures w14:val="none"/>
        </w:rPr>
        <w:t>C</w:t>
      </w:r>
      <w:r w:rsidR="00AF0468" w:rsidRPr="0006621C">
        <w:rPr>
          <w:rFonts w:ascii="Arial" w:eastAsia="Times New Roman" w:hAnsi="Arial" w:cs="Arial"/>
          <w:b/>
          <w:bCs/>
          <w:color w:val="1F1F1F"/>
          <w:kern w:val="0"/>
          <w:sz w:val="28"/>
          <w:szCs w:val="28"/>
          <w:bdr w:val="none" w:sz="0" w:space="0" w:color="auto" w:frame="1"/>
          <w:lang w:eastAsia="es-CL"/>
          <w14:ligatures w14:val="none"/>
        </w:rPr>
        <w:t xml:space="preserve">rítico </w:t>
      </w:r>
      <w:r w:rsidRPr="0006621C">
        <w:rPr>
          <w:rFonts w:ascii="Arial" w:eastAsia="Times New Roman" w:hAnsi="Arial" w:cs="Arial"/>
          <w:b/>
          <w:bCs/>
          <w:color w:val="1F1F1F"/>
          <w:kern w:val="0"/>
          <w:sz w:val="28"/>
          <w:szCs w:val="28"/>
          <w:bdr w:val="none" w:sz="0" w:space="0" w:color="auto" w:frame="1"/>
          <w:lang w:eastAsia="es-CL"/>
          <w14:ligatures w14:val="none"/>
        </w:rPr>
        <w:t>de la Propuesta de Reglamento de Carrera Académica</w:t>
      </w:r>
    </w:p>
    <w:p w14:paraId="5C62A752" w14:textId="77777777" w:rsidR="000541F8" w:rsidRPr="0006621C" w:rsidRDefault="000541F8" w:rsidP="000541F8">
      <w:pPr>
        <w:spacing w:after="0" w:line="240" w:lineRule="auto"/>
        <w:jc w:val="center"/>
        <w:rPr>
          <w:rFonts w:ascii="Arial" w:eastAsia="Times New Roman" w:hAnsi="Arial" w:cs="Arial"/>
          <w:b/>
          <w:bCs/>
          <w:color w:val="1F1F1F"/>
          <w:kern w:val="0"/>
          <w:sz w:val="28"/>
          <w:szCs w:val="28"/>
          <w:lang w:eastAsia="es-CL"/>
          <w14:ligatures w14:val="none"/>
        </w:rPr>
      </w:pPr>
    </w:p>
    <w:p w14:paraId="34242FF0" w14:textId="77777777" w:rsidR="00AF0468" w:rsidRPr="00AF0468" w:rsidRDefault="00AF0468" w:rsidP="000541F8">
      <w:pPr>
        <w:spacing w:after="0" w:line="240" w:lineRule="auto"/>
        <w:jc w:val="both"/>
        <w:outlineLvl w:val="2"/>
        <w:rPr>
          <w:rFonts w:ascii="Arial" w:eastAsia="Times New Roman" w:hAnsi="Arial" w:cs="Arial"/>
          <w:b/>
          <w:bCs/>
          <w:color w:val="1F1F1F"/>
          <w:kern w:val="0"/>
          <w:sz w:val="27"/>
          <w:szCs w:val="27"/>
          <w:lang w:eastAsia="es-CL"/>
          <w14:ligatures w14:val="none"/>
        </w:rPr>
      </w:pPr>
      <w:r w:rsidRPr="00AF0468">
        <w:rPr>
          <w:rFonts w:ascii="Arial" w:eastAsia="Times New Roman" w:hAnsi="Arial" w:cs="Arial"/>
          <w:b/>
          <w:bCs/>
          <w:color w:val="1F1F1F"/>
          <w:kern w:val="0"/>
          <w:sz w:val="27"/>
          <w:szCs w:val="27"/>
          <w:lang w:eastAsia="es-CL"/>
          <w14:ligatures w14:val="none"/>
        </w:rPr>
        <w:t>1. Inconsistencias Internas y Contradicciones</w:t>
      </w:r>
    </w:p>
    <w:p w14:paraId="6B4FC8FA" w14:textId="77777777" w:rsidR="00AF0468" w:rsidRPr="00AF0468" w:rsidRDefault="00AF0468" w:rsidP="000541F8">
      <w:pPr>
        <w:numPr>
          <w:ilvl w:val="0"/>
          <w:numId w:val="1"/>
        </w:numPr>
        <w:spacing w:after="0" w:line="240" w:lineRule="auto"/>
        <w:jc w:val="both"/>
        <w:rPr>
          <w:rFonts w:ascii="Arial" w:eastAsia="Times New Roman" w:hAnsi="Arial" w:cs="Arial"/>
          <w:color w:val="1F1F1F"/>
          <w:kern w:val="0"/>
          <w:lang w:eastAsia="es-CL"/>
          <w14:ligatures w14:val="none"/>
        </w:rPr>
      </w:pPr>
      <w:r w:rsidRPr="00AF0468">
        <w:rPr>
          <w:rFonts w:ascii="Arial" w:eastAsia="Times New Roman" w:hAnsi="Arial" w:cs="Arial"/>
          <w:b/>
          <w:bCs/>
          <w:color w:val="1F1F1F"/>
          <w:kern w:val="0"/>
          <w:bdr w:val="none" w:sz="0" w:space="0" w:color="auto" w:frame="1"/>
          <w:lang w:eastAsia="es-CL"/>
          <w14:ligatures w14:val="none"/>
        </w:rPr>
        <w:t>Conflicto en la jerarquía de Profesor/a Asistente y sus exigencias:</w:t>
      </w:r>
    </w:p>
    <w:p w14:paraId="6EDE00E6" w14:textId="77777777" w:rsidR="00AF0468" w:rsidRPr="00AF0468" w:rsidRDefault="00AF0468" w:rsidP="000541F8">
      <w:pPr>
        <w:numPr>
          <w:ilvl w:val="1"/>
          <w:numId w:val="1"/>
        </w:numPr>
        <w:spacing w:after="0" w:line="240" w:lineRule="auto"/>
        <w:jc w:val="both"/>
        <w:rPr>
          <w:rFonts w:ascii="Arial" w:eastAsia="Times New Roman" w:hAnsi="Arial" w:cs="Arial"/>
          <w:color w:val="1F1F1F"/>
          <w:kern w:val="0"/>
          <w:lang w:eastAsia="es-CL"/>
          <w14:ligatures w14:val="none"/>
        </w:rPr>
      </w:pPr>
      <w:r w:rsidRPr="00AF0468">
        <w:rPr>
          <w:rFonts w:ascii="Arial" w:eastAsia="Times New Roman" w:hAnsi="Arial" w:cs="Arial"/>
          <w:b/>
          <w:bCs/>
          <w:color w:val="1F1F1F"/>
          <w:kern w:val="0"/>
          <w:bdr w:val="none" w:sz="0" w:space="0" w:color="auto" w:frame="1"/>
          <w:lang w:eastAsia="es-CL"/>
          <w14:ligatures w14:val="none"/>
        </w:rPr>
        <w:t>Título/Formación:</w:t>
      </w:r>
      <w:r w:rsidRPr="00AF0468">
        <w:rPr>
          <w:rFonts w:ascii="Arial" w:eastAsia="Times New Roman" w:hAnsi="Arial" w:cs="Arial"/>
          <w:color w:val="1F1F1F"/>
          <w:kern w:val="0"/>
          <w:bdr w:val="none" w:sz="0" w:space="0" w:color="auto" w:frame="1"/>
          <w:lang w:eastAsia="es-CL"/>
          <w14:ligatures w14:val="none"/>
        </w:rPr>
        <w:t xml:space="preserve"> El Artículo 17 exige como regla general poseer el grado de Doctor/a para la jerarquía de Profesor/a Asistente. Sin embargo, la Primera Disposición Transitoria establece que quienes tengan la jerarquía actual de "Profesor/a Asistente B" que no cumplan los requisitos en un plazo de 4 años serán retrocedidos/descendidos a "Instructor/a". Esto genera una colisión conceptual con el espíritu del sistema y los derechos adquiridos.</w:t>
      </w:r>
      <w:r w:rsidRPr="00AF0468">
        <w:rPr>
          <w:rFonts w:ascii="Arial" w:eastAsia="Times New Roman" w:hAnsi="Arial" w:cs="Arial"/>
          <w:color w:val="1F1F1F"/>
          <w:kern w:val="0"/>
          <w:lang w:eastAsia="es-CL"/>
          <w14:ligatures w14:val="none"/>
        </w:rPr>
        <w:t xml:space="preserve"> </w:t>
      </w:r>
    </w:p>
    <w:p w14:paraId="55D56EEA" w14:textId="77777777" w:rsidR="00AF0468" w:rsidRPr="00AF0468" w:rsidRDefault="00AF0468" w:rsidP="000541F8">
      <w:pPr>
        <w:numPr>
          <w:ilvl w:val="1"/>
          <w:numId w:val="1"/>
        </w:numPr>
        <w:spacing w:after="0" w:line="240" w:lineRule="auto"/>
        <w:jc w:val="both"/>
        <w:rPr>
          <w:rFonts w:ascii="Arial" w:eastAsia="Times New Roman" w:hAnsi="Arial" w:cs="Arial"/>
          <w:color w:val="1F1F1F"/>
          <w:kern w:val="0"/>
          <w:lang w:eastAsia="es-CL"/>
          <w14:ligatures w14:val="none"/>
        </w:rPr>
      </w:pPr>
      <w:r w:rsidRPr="00AF0468">
        <w:rPr>
          <w:rFonts w:ascii="Arial" w:eastAsia="Times New Roman" w:hAnsi="Arial" w:cs="Arial"/>
          <w:b/>
          <w:bCs/>
          <w:color w:val="1F1F1F"/>
          <w:kern w:val="0"/>
          <w:bdr w:val="none" w:sz="0" w:space="0" w:color="auto" w:frame="1"/>
          <w:lang w:eastAsia="es-CL"/>
          <w14:ligatures w14:val="none"/>
        </w:rPr>
        <w:t>Experiencia/Tiempos:</w:t>
      </w:r>
      <w:r w:rsidRPr="00AF0468">
        <w:rPr>
          <w:rFonts w:ascii="Arial" w:eastAsia="Times New Roman" w:hAnsi="Arial" w:cs="Arial"/>
          <w:color w:val="1F1F1F"/>
          <w:kern w:val="0"/>
          <w:bdr w:val="none" w:sz="0" w:space="0" w:color="auto" w:frame="1"/>
          <w:lang w:eastAsia="es-CL"/>
          <w14:ligatures w14:val="none"/>
        </w:rPr>
        <w:t xml:space="preserve"> En el Artículo 17.1.2 se exige un título profesional y experiencia laboral previa de un mínimo de 6 años para acceder de forma excepcional a Profesor/a Asistente. No obstante, el Artículo 17.2 exige haberse desempeñado al menos 2 años como Instructor/a. Esto crea confusión respecto a si los 6 años reemplazan al grado de doctor o al tiempo acumulado en la jerarquía previa.</w:t>
      </w:r>
      <w:r w:rsidRPr="00AF0468">
        <w:rPr>
          <w:rFonts w:ascii="Arial" w:eastAsia="Times New Roman" w:hAnsi="Arial" w:cs="Arial"/>
          <w:color w:val="1F1F1F"/>
          <w:kern w:val="0"/>
          <w:lang w:eastAsia="es-CL"/>
          <w14:ligatures w14:val="none"/>
        </w:rPr>
        <w:t xml:space="preserve"> </w:t>
      </w:r>
    </w:p>
    <w:p w14:paraId="780CEE7B" w14:textId="77777777" w:rsidR="00AF0468" w:rsidRPr="00AF0468" w:rsidRDefault="00AF0468" w:rsidP="000541F8">
      <w:pPr>
        <w:numPr>
          <w:ilvl w:val="0"/>
          <w:numId w:val="1"/>
        </w:numPr>
        <w:spacing w:after="0" w:line="240" w:lineRule="auto"/>
        <w:jc w:val="both"/>
        <w:rPr>
          <w:rFonts w:ascii="Arial" w:eastAsia="Times New Roman" w:hAnsi="Arial" w:cs="Arial"/>
          <w:color w:val="1F1F1F"/>
          <w:kern w:val="0"/>
          <w:lang w:eastAsia="es-CL"/>
          <w14:ligatures w14:val="none"/>
        </w:rPr>
      </w:pPr>
      <w:r w:rsidRPr="00AF0468">
        <w:rPr>
          <w:rFonts w:ascii="Arial" w:eastAsia="Times New Roman" w:hAnsi="Arial" w:cs="Arial"/>
          <w:b/>
          <w:bCs/>
          <w:color w:val="1F1F1F"/>
          <w:kern w:val="0"/>
          <w:bdr w:val="none" w:sz="0" w:space="0" w:color="auto" w:frame="1"/>
          <w:lang w:eastAsia="es-CL"/>
          <w14:ligatures w14:val="none"/>
        </w:rPr>
        <w:t>Exclusión de la evaluación de desempeño vs. Permanencia:</w:t>
      </w:r>
    </w:p>
    <w:p w14:paraId="2325DEF8" w14:textId="77777777" w:rsidR="00AF0468" w:rsidRPr="00AF0468" w:rsidRDefault="00AF0468" w:rsidP="000541F8">
      <w:pPr>
        <w:numPr>
          <w:ilvl w:val="1"/>
          <w:numId w:val="1"/>
        </w:numPr>
        <w:spacing w:after="0" w:line="240" w:lineRule="auto"/>
        <w:jc w:val="both"/>
        <w:rPr>
          <w:rFonts w:ascii="Arial" w:eastAsia="Times New Roman" w:hAnsi="Arial" w:cs="Arial"/>
          <w:color w:val="1F1F1F"/>
          <w:kern w:val="0"/>
          <w:lang w:eastAsia="es-CL"/>
          <w14:ligatures w14:val="none"/>
        </w:rPr>
      </w:pPr>
      <w:r w:rsidRPr="00AF0468">
        <w:rPr>
          <w:rFonts w:ascii="Arial" w:eastAsia="Times New Roman" w:hAnsi="Arial" w:cs="Arial"/>
          <w:color w:val="1F1F1F"/>
          <w:kern w:val="0"/>
          <w:bdr w:val="none" w:sz="0" w:space="0" w:color="auto" w:frame="1"/>
          <w:lang w:eastAsia="es-CL"/>
          <w14:ligatures w14:val="none"/>
        </w:rPr>
        <w:t>El Artículo 74 (letra b) exime de evaluación de desempeño académica a los directivos y Decanos mientras ejerzan sus cargos. Sin embargo, el Artículo 37 establece que estos directivos conservan su jerarquía y pueden presentarse a promoción jerárquica. Se genera un vacío sobre cómo se evaluará o ponderará la productividad académica en periodos donde la persona no fue evaluada por estar en un cargo directivo.</w:t>
      </w:r>
      <w:r w:rsidRPr="00AF0468">
        <w:rPr>
          <w:rFonts w:ascii="Arial" w:eastAsia="Times New Roman" w:hAnsi="Arial" w:cs="Arial"/>
          <w:color w:val="1F1F1F"/>
          <w:kern w:val="0"/>
          <w:lang w:eastAsia="es-CL"/>
          <w14:ligatures w14:val="none"/>
        </w:rPr>
        <w:t xml:space="preserve"> </w:t>
      </w:r>
    </w:p>
    <w:p w14:paraId="7EE7945A" w14:textId="77777777" w:rsidR="00AF0468" w:rsidRPr="00AF0468" w:rsidRDefault="00AF0468" w:rsidP="000541F8">
      <w:pPr>
        <w:numPr>
          <w:ilvl w:val="0"/>
          <w:numId w:val="1"/>
        </w:numPr>
        <w:spacing w:after="0" w:line="240" w:lineRule="auto"/>
        <w:jc w:val="both"/>
        <w:rPr>
          <w:rFonts w:ascii="Arial" w:eastAsia="Times New Roman" w:hAnsi="Arial" w:cs="Arial"/>
          <w:color w:val="1F1F1F"/>
          <w:kern w:val="0"/>
          <w:lang w:eastAsia="es-CL"/>
          <w14:ligatures w14:val="none"/>
        </w:rPr>
      </w:pPr>
      <w:r w:rsidRPr="00AF0468">
        <w:rPr>
          <w:rFonts w:ascii="Arial" w:eastAsia="Times New Roman" w:hAnsi="Arial" w:cs="Arial"/>
          <w:b/>
          <w:bCs/>
          <w:color w:val="1F1F1F"/>
          <w:kern w:val="0"/>
          <w:bdr w:val="none" w:sz="0" w:space="0" w:color="auto" w:frame="1"/>
          <w:lang w:eastAsia="es-CL"/>
          <w14:ligatures w14:val="none"/>
        </w:rPr>
        <w:t>Proceso de Apelación y Reconsideración en Evaluación y Jerarquización:</w:t>
      </w:r>
    </w:p>
    <w:p w14:paraId="15332CBF" w14:textId="77777777" w:rsidR="00AF0468" w:rsidRPr="00AF0468" w:rsidRDefault="00AF0468" w:rsidP="000541F8">
      <w:pPr>
        <w:numPr>
          <w:ilvl w:val="1"/>
          <w:numId w:val="1"/>
        </w:numPr>
        <w:spacing w:after="0" w:line="240" w:lineRule="auto"/>
        <w:jc w:val="both"/>
        <w:rPr>
          <w:rFonts w:ascii="Arial" w:eastAsia="Times New Roman" w:hAnsi="Arial" w:cs="Arial"/>
          <w:color w:val="1F1F1F"/>
          <w:kern w:val="0"/>
          <w:lang w:eastAsia="es-CL"/>
          <w14:ligatures w14:val="none"/>
        </w:rPr>
      </w:pPr>
      <w:r w:rsidRPr="00AF0468">
        <w:rPr>
          <w:rFonts w:ascii="Arial" w:eastAsia="Times New Roman" w:hAnsi="Arial" w:cs="Arial"/>
          <w:color w:val="1F1F1F"/>
          <w:kern w:val="0"/>
          <w:bdr w:val="none" w:sz="0" w:space="0" w:color="auto" w:frame="1"/>
          <w:lang w:eastAsia="es-CL"/>
          <w14:ligatures w14:val="none"/>
        </w:rPr>
        <w:t>En el Artículo 52 se establece que de los acuerdos de evaluación/jerarquización de la Comisión de Facultad se apela ante la Comisión Superior en un plazo de 8 días hábiles. En el Artículo 62 se indica que esta última resolverá en 15 días hábiles (prorrogables a 30). Sin embargo, el Artículo 61 habilita la solicitud de "reconsideración" ante la misma Comisión Superior para casos específicos en 8 días hábiles. La coexistencia de apelaciones e instancias de reconsideración con plazos superpuestos para distintos roles crea duplicidad procesal.</w:t>
      </w:r>
      <w:r w:rsidRPr="00AF0468">
        <w:rPr>
          <w:rFonts w:ascii="Arial" w:eastAsia="Times New Roman" w:hAnsi="Arial" w:cs="Arial"/>
          <w:color w:val="1F1F1F"/>
          <w:kern w:val="0"/>
          <w:lang w:eastAsia="es-CL"/>
          <w14:ligatures w14:val="none"/>
        </w:rPr>
        <w:t xml:space="preserve"> </w:t>
      </w:r>
    </w:p>
    <w:p w14:paraId="67484C2A" w14:textId="77777777" w:rsidR="00AF0468" w:rsidRPr="00AF0468" w:rsidRDefault="00AF0468" w:rsidP="000541F8">
      <w:pPr>
        <w:spacing w:after="0" w:line="240" w:lineRule="auto"/>
        <w:jc w:val="both"/>
        <w:outlineLvl w:val="2"/>
        <w:rPr>
          <w:rFonts w:ascii="Arial" w:eastAsia="Times New Roman" w:hAnsi="Arial" w:cs="Arial"/>
          <w:b/>
          <w:bCs/>
          <w:color w:val="1F1F1F"/>
          <w:kern w:val="0"/>
          <w:sz w:val="27"/>
          <w:szCs w:val="27"/>
          <w:lang w:eastAsia="es-CL"/>
          <w14:ligatures w14:val="none"/>
        </w:rPr>
      </w:pPr>
      <w:r w:rsidRPr="00AF0468">
        <w:rPr>
          <w:rFonts w:ascii="Arial" w:eastAsia="Times New Roman" w:hAnsi="Arial" w:cs="Arial"/>
          <w:b/>
          <w:bCs/>
          <w:color w:val="1F1F1F"/>
          <w:kern w:val="0"/>
          <w:sz w:val="27"/>
          <w:szCs w:val="27"/>
          <w:lang w:eastAsia="es-CL"/>
          <w14:ligatures w14:val="none"/>
        </w:rPr>
        <w:t>2. Ambigüedades y Vacíos Normativos</w:t>
      </w:r>
    </w:p>
    <w:p w14:paraId="5B9ECA9D" w14:textId="77777777" w:rsidR="00AF0468" w:rsidRPr="00AF0468" w:rsidRDefault="00AF0468" w:rsidP="000541F8">
      <w:pPr>
        <w:numPr>
          <w:ilvl w:val="0"/>
          <w:numId w:val="2"/>
        </w:numPr>
        <w:spacing w:after="0" w:line="240" w:lineRule="auto"/>
        <w:jc w:val="both"/>
        <w:rPr>
          <w:rFonts w:ascii="Arial" w:eastAsia="Times New Roman" w:hAnsi="Arial" w:cs="Arial"/>
          <w:color w:val="1F1F1F"/>
          <w:kern w:val="0"/>
          <w:lang w:eastAsia="es-CL"/>
          <w14:ligatures w14:val="none"/>
        </w:rPr>
      </w:pPr>
      <w:r w:rsidRPr="00AF0468">
        <w:rPr>
          <w:rFonts w:ascii="Arial" w:eastAsia="Times New Roman" w:hAnsi="Arial" w:cs="Arial"/>
          <w:b/>
          <w:bCs/>
          <w:color w:val="1F1F1F"/>
          <w:kern w:val="0"/>
          <w:bdr w:val="none" w:sz="0" w:space="0" w:color="auto" w:frame="1"/>
          <w:lang w:eastAsia="es-CL"/>
          <w14:ligatures w14:val="none"/>
        </w:rPr>
        <w:t>Falta de métricas objetivas en la escala de calificación:</w:t>
      </w:r>
    </w:p>
    <w:p w14:paraId="75CFBD54" w14:textId="77777777" w:rsidR="00AF0468" w:rsidRPr="00AF0468" w:rsidRDefault="00AF0468" w:rsidP="000541F8">
      <w:pPr>
        <w:numPr>
          <w:ilvl w:val="1"/>
          <w:numId w:val="2"/>
        </w:numPr>
        <w:spacing w:after="0" w:line="240" w:lineRule="auto"/>
        <w:jc w:val="both"/>
        <w:rPr>
          <w:rFonts w:ascii="Arial" w:eastAsia="Times New Roman" w:hAnsi="Arial" w:cs="Arial"/>
          <w:color w:val="1F1F1F"/>
          <w:kern w:val="0"/>
          <w:lang w:eastAsia="es-CL"/>
          <w14:ligatures w14:val="none"/>
        </w:rPr>
      </w:pPr>
      <w:r w:rsidRPr="00AF0468">
        <w:rPr>
          <w:rFonts w:ascii="Arial" w:eastAsia="Times New Roman" w:hAnsi="Arial" w:cs="Arial"/>
          <w:color w:val="1F1F1F"/>
          <w:kern w:val="0"/>
          <w:bdr w:val="none" w:sz="0" w:space="0" w:color="auto" w:frame="1"/>
          <w:lang w:eastAsia="es-CL"/>
          <w14:ligatures w14:val="none"/>
        </w:rPr>
        <w:t xml:space="preserve">Los Artículos 81 y 82 definen los conceptos evaluativos de </w:t>
      </w:r>
      <w:r w:rsidRPr="00AF0468">
        <w:rPr>
          <w:rFonts w:ascii="Arial" w:eastAsia="Times New Roman" w:hAnsi="Arial" w:cs="Arial"/>
          <w:i/>
          <w:iCs/>
          <w:color w:val="1F1F1F"/>
          <w:kern w:val="0"/>
          <w:bdr w:val="none" w:sz="0" w:space="0" w:color="auto" w:frame="1"/>
          <w:lang w:eastAsia="es-CL"/>
          <w14:ligatures w14:val="none"/>
        </w:rPr>
        <w:t>Sobresaliente</w:t>
      </w:r>
      <w:r w:rsidRPr="00AF0468">
        <w:rPr>
          <w:rFonts w:ascii="Arial" w:eastAsia="Times New Roman" w:hAnsi="Arial" w:cs="Arial"/>
          <w:color w:val="1F1F1F"/>
          <w:kern w:val="0"/>
          <w:bdr w:val="none" w:sz="0" w:space="0" w:color="auto" w:frame="1"/>
          <w:lang w:eastAsia="es-CL"/>
          <w14:ligatures w14:val="none"/>
        </w:rPr>
        <w:t xml:space="preserve"> (8 </w:t>
      </w:r>
      <w:proofErr w:type="spellStart"/>
      <w:r w:rsidRPr="00AF0468">
        <w:rPr>
          <w:rFonts w:ascii="Arial" w:eastAsia="Times New Roman" w:hAnsi="Arial" w:cs="Arial"/>
          <w:color w:val="1F1F1F"/>
          <w:kern w:val="0"/>
          <w:bdr w:val="none" w:sz="0" w:space="0" w:color="auto" w:frame="1"/>
          <w:lang w:eastAsia="es-CL"/>
          <w14:ligatures w14:val="none"/>
        </w:rPr>
        <w:t>pts</w:t>
      </w:r>
      <w:proofErr w:type="spellEnd"/>
      <w:r w:rsidRPr="00AF0468">
        <w:rPr>
          <w:rFonts w:ascii="Arial" w:eastAsia="Times New Roman" w:hAnsi="Arial" w:cs="Arial"/>
          <w:color w:val="1F1F1F"/>
          <w:kern w:val="0"/>
          <w:bdr w:val="none" w:sz="0" w:space="0" w:color="auto" w:frame="1"/>
          <w:lang w:eastAsia="es-CL"/>
          <w14:ligatures w14:val="none"/>
        </w:rPr>
        <w:t xml:space="preserve">), </w:t>
      </w:r>
      <w:r w:rsidRPr="00AF0468">
        <w:rPr>
          <w:rFonts w:ascii="Arial" w:eastAsia="Times New Roman" w:hAnsi="Arial" w:cs="Arial"/>
          <w:i/>
          <w:iCs/>
          <w:color w:val="1F1F1F"/>
          <w:kern w:val="0"/>
          <w:bdr w:val="none" w:sz="0" w:space="0" w:color="auto" w:frame="1"/>
          <w:lang w:eastAsia="es-CL"/>
          <w14:ligatures w14:val="none"/>
        </w:rPr>
        <w:t>Bueno</w:t>
      </w:r>
      <w:r w:rsidRPr="00AF0468">
        <w:rPr>
          <w:rFonts w:ascii="Arial" w:eastAsia="Times New Roman" w:hAnsi="Arial" w:cs="Arial"/>
          <w:color w:val="1F1F1F"/>
          <w:kern w:val="0"/>
          <w:bdr w:val="none" w:sz="0" w:space="0" w:color="auto" w:frame="1"/>
          <w:lang w:eastAsia="es-CL"/>
          <w14:ligatures w14:val="none"/>
        </w:rPr>
        <w:t xml:space="preserve"> (6 </w:t>
      </w:r>
      <w:proofErr w:type="spellStart"/>
      <w:r w:rsidRPr="00AF0468">
        <w:rPr>
          <w:rFonts w:ascii="Arial" w:eastAsia="Times New Roman" w:hAnsi="Arial" w:cs="Arial"/>
          <w:color w:val="1F1F1F"/>
          <w:kern w:val="0"/>
          <w:bdr w:val="none" w:sz="0" w:space="0" w:color="auto" w:frame="1"/>
          <w:lang w:eastAsia="es-CL"/>
          <w14:ligatures w14:val="none"/>
        </w:rPr>
        <w:t>pts</w:t>
      </w:r>
      <w:proofErr w:type="spellEnd"/>
      <w:r w:rsidRPr="00AF0468">
        <w:rPr>
          <w:rFonts w:ascii="Arial" w:eastAsia="Times New Roman" w:hAnsi="Arial" w:cs="Arial"/>
          <w:color w:val="1F1F1F"/>
          <w:kern w:val="0"/>
          <w:bdr w:val="none" w:sz="0" w:space="0" w:color="auto" w:frame="1"/>
          <w:lang w:eastAsia="es-CL"/>
          <w14:ligatures w14:val="none"/>
        </w:rPr>
        <w:t xml:space="preserve">), </w:t>
      </w:r>
      <w:r w:rsidRPr="00AF0468">
        <w:rPr>
          <w:rFonts w:ascii="Arial" w:eastAsia="Times New Roman" w:hAnsi="Arial" w:cs="Arial"/>
          <w:i/>
          <w:iCs/>
          <w:color w:val="1F1F1F"/>
          <w:kern w:val="0"/>
          <w:bdr w:val="none" w:sz="0" w:space="0" w:color="auto" w:frame="1"/>
          <w:lang w:eastAsia="es-CL"/>
          <w14:ligatures w14:val="none"/>
        </w:rPr>
        <w:t>Suficiente</w:t>
      </w:r>
      <w:r w:rsidRPr="00AF0468">
        <w:rPr>
          <w:rFonts w:ascii="Arial" w:eastAsia="Times New Roman" w:hAnsi="Arial" w:cs="Arial"/>
          <w:color w:val="1F1F1F"/>
          <w:kern w:val="0"/>
          <w:bdr w:val="none" w:sz="0" w:space="0" w:color="auto" w:frame="1"/>
          <w:lang w:eastAsia="es-CL"/>
          <w14:ligatures w14:val="none"/>
        </w:rPr>
        <w:t xml:space="preserve"> (4 </w:t>
      </w:r>
      <w:proofErr w:type="spellStart"/>
      <w:r w:rsidRPr="00AF0468">
        <w:rPr>
          <w:rFonts w:ascii="Arial" w:eastAsia="Times New Roman" w:hAnsi="Arial" w:cs="Arial"/>
          <w:color w:val="1F1F1F"/>
          <w:kern w:val="0"/>
          <w:bdr w:val="none" w:sz="0" w:space="0" w:color="auto" w:frame="1"/>
          <w:lang w:eastAsia="es-CL"/>
          <w14:ligatures w14:val="none"/>
        </w:rPr>
        <w:t>pts</w:t>
      </w:r>
      <w:proofErr w:type="spellEnd"/>
      <w:r w:rsidRPr="00AF0468">
        <w:rPr>
          <w:rFonts w:ascii="Arial" w:eastAsia="Times New Roman" w:hAnsi="Arial" w:cs="Arial"/>
          <w:color w:val="1F1F1F"/>
          <w:kern w:val="0"/>
          <w:bdr w:val="none" w:sz="0" w:space="0" w:color="auto" w:frame="1"/>
          <w:lang w:eastAsia="es-CL"/>
          <w14:ligatures w14:val="none"/>
        </w:rPr>
        <w:t xml:space="preserve">) e </w:t>
      </w:r>
      <w:r w:rsidRPr="00AF0468">
        <w:rPr>
          <w:rFonts w:ascii="Arial" w:eastAsia="Times New Roman" w:hAnsi="Arial" w:cs="Arial"/>
          <w:i/>
          <w:iCs/>
          <w:color w:val="1F1F1F"/>
          <w:kern w:val="0"/>
          <w:bdr w:val="none" w:sz="0" w:space="0" w:color="auto" w:frame="1"/>
          <w:lang w:eastAsia="es-CL"/>
          <w14:ligatures w14:val="none"/>
        </w:rPr>
        <w:t>Insuficiente</w:t>
      </w:r>
      <w:r w:rsidRPr="00AF0468">
        <w:rPr>
          <w:rFonts w:ascii="Arial" w:eastAsia="Times New Roman" w:hAnsi="Arial" w:cs="Arial"/>
          <w:color w:val="1F1F1F"/>
          <w:kern w:val="0"/>
          <w:bdr w:val="none" w:sz="0" w:space="0" w:color="auto" w:frame="1"/>
          <w:lang w:eastAsia="es-CL"/>
          <w14:ligatures w14:val="none"/>
        </w:rPr>
        <w:t xml:space="preserve"> (2 </w:t>
      </w:r>
      <w:proofErr w:type="spellStart"/>
      <w:r w:rsidRPr="00AF0468">
        <w:rPr>
          <w:rFonts w:ascii="Arial" w:eastAsia="Times New Roman" w:hAnsi="Arial" w:cs="Arial"/>
          <w:color w:val="1F1F1F"/>
          <w:kern w:val="0"/>
          <w:bdr w:val="none" w:sz="0" w:space="0" w:color="auto" w:frame="1"/>
          <w:lang w:eastAsia="es-CL"/>
          <w14:ligatures w14:val="none"/>
        </w:rPr>
        <w:t>pts</w:t>
      </w:r>
      <w:proofErr w:type="spellEnd"/>
      <w:r w:rsidRPr="00AF0468">
        <w:rPr>
          <w:rFonts w:ascii="Arial" w:eastAsia="Times New Roman" w:hAnsi="Arial" w:cs="Arial"/>
          <w:color w:val="1F1F1F"/>
          <w:kern w:val="0"/>
          <w:bdr w:val="none" w:sz="0" w:space="0" w:color="auto" w:frame="1"/>
          <w:lang w:eastAsia="es-CL"/>
          <w14:ligatures w14:val="none"/>
        </w:rPr>
        <w:t xml:space="preserve">). Sin embargo, el texto no define las </w:t>
      </w:r>
      <w:r w:rsidRPr="00AF0468">
        <w:rPr>
          <w:rFonts w:ascii="Arial" w:eastAsia="Times New Roman" w:hAnsi="Arial" w:cs="Arial"/>
          <w:b/>
          <w:bCs/>
          <w:color w:val="1F1F1F"/>
          <w:kern w:val="0"/>
          <w:bdr w:val="none" w:sz="0" w:space="0" w:color="auto" w:frame="1"/>
          <w:lang w:eastAsia="es-CL"/>
          <w14:ligatures w14:val="none"/>
        </w:rPr>
        <w:t>rúbricas cuantitativas o cualitativas</w:t>
      </w:r>
      <w:r w:rsidRPr="00AF0468">
        <w:rPr>
          <w:rFonts w:ascii="Arial" w:eastAsia="Times New Roman" w:hAnsi="Arial" w:cs="Arial"/>
          <w:color w:val="1F1F1F"/>
          <w:kern w:val="0"/>
          <w:bdr w:val="none" w:sz="0" w:space="0" w:color="auto" w:frame="1"/>
          <w:lang w:eastAsia="es-CL"/>
          <w14:ligatures w14:val="none"/>
        </w:rPr>
        <w:t xml:space="preserve"> específicas que determinan cuándo una actividad o publicación equivale a uno de estos conceptos. El Artículo 105 delega esta responsabilidad a las instrucciones o pautas que prepare </w:t>
      </w:r>
      <w:r w:rsidRPr="00AF0468">
        <w:rPr>
          <w:rFonts w:ascii="Arial" w:eastAsia="Times New Roman" w:hAnsi="Arial" w:cs="Arial"/>
          <w:color w:val="1F1F1F"/>
          <w:kern w:val="0"/>
          <w:bdr w:val="none" w:sz="0" w:space="0" w:color="auto" w:frame="1"/>
          <w:lang w:eastAsia="es-CL"/>
          <w14:ligatures w14:val="none"/>
        </w:rPr>
        <w:lastRenderedPageBreak/>
        <w:t>posteriormente la Vicerrectoría Académica, lo que deja la definición de los estándares fuera del reglamento.</w:t>
      </w:r>
      <w:r w:rsidRPr="00AF0468">
        <w:rPr>
          <w:rFonts w:ascii="Arial" w:eastAsia="Times New Roman" w:hAnsi="Arial" w:cs="Arial"/>
          <w:color w:val="1F1F1F"/>
          <w:kern w:val="0"/>
          <w:lang w:eastAsia="es-CL"/>
          <w14:ligatures w14:val="none"/>
        </w:rPr>
        <w:t xml:space="preserve"> </w:t>
      </w:r>
    </w:p>
    <w:p w14:paraId="3D9F269E" w14:textId="77777777" w:rsidR="00AF0468" w:rsidRPr="00AF0468" w:rsidRDefault="00AF0468" w:rsidP="000541F8">
      <w:pPr>
        <w:numPr>
          <w:ilvl w:val="0"/>
          <w:numId w:val="2"/>
        </w:numPr>
        <w:spacing w:after="0" w:line="240" w:lineRule="auto"/>
        <w:jc w:val="both"/>
        <w:rPr>
          <w:rFonts w:ascii="Arial" w:eastAsia="Times New Roman" w:hAnsi="Arial" w:cs="Arial"/>
          <w:color w:val="1F1F1F"/>
          <w:kern w:val="0"/>
          <w:lang w:eastAsia="es-CL"/>
          <w14:ligatures w14:val="none"/>
        </w:rPr>
      </w:pPr>
      <w:r w:rsidRPr="00AF0468">
        <w:rPr>
          <w:rFonts w:ascii="Arial" w:eastAsia="Times New Roman" w:hAnsi="Arial" w:cs="Arial"/>
          <w:b/>
          <w:bCs/>
          <w:color w:val="1F1F1F"/>
          <w:kern w:val="0"/>
          <w:bdr w:val="none" w:sz="0" w:space="0" w:color="auto" w:frame="1"/>
          <w:lang w:eastAsia="es-CL"/>
          <w14:ligatures w14:val="none"/>
        </w:rPr>
        <w:t>"Experiencia laboral previa pertinente" (Artículos 9.1.2, 13.1.2, 17.1.2, 20.1.2):</w:t>
      </w:r>
    </w:p>
    <w:p w14:paraId="1D9952D8" w14:textId="77777777" w:rsidR="00AF0468" w:rsidRPr="00AF0468" w:rsidRDefault="00AF0468" w:rsidP="000541F8">
      <w:pPr>
        <w:numPr>
          <w:ilvl w:val="1"/>
          <w:numId w:val="2"/>
        </w:numPr>
        <w:spacing w:after="0" w:line="240" w:lineRule="auto"/>
        <w:jc w:val="both"/>
        <w:rPr>
          <w:rFonts w:ascii="Arial" w:eastAsia="Times New Roman" w:hAnsi="Arial" w:cs="Arial"/>
          <w:color w:val="1F1F1F"/>
          <w:kern w:val="0"/>
          <w:lang w:eastAsia="es-CL"/>
          <w14:ligatures w14:val="none"/>
        </w:rPr>
      </w:pPr>
      <w:r w:rsidRPr="00AF0468">
        <w:rPr>
          <w:rFonts w:ascii="Arial" w:eastAsia="Times New Roman" w:hAnsi="Arial" w:cs="Arial"/>
          <w:color w:val="1F1F1F"/>
          <w:kern w:val="0"/>
          <w:bdr w:val="none" w:sz="0" w:space="0" w:color="auto" w:frame="1"/>
          <w:lang w:eastAsia="es-CL"/>
          <w14:ligatures w14:val="none"/>
        </w:rPr>
        <w:t>Se alude repetidamente a años de experiencia (12, 9, 6 y 4 años según la jerarquía) como alternativa excepcional al grado de doctor. No obstante, no se precisa qué criterios determinan la "pertinencia" ni el mecanismo de validación de dicha experiencia laboral ajena a la universidad.</w:t>
      </w:r>
      <w:r w:rsidRPr="00AF0468">
        <w:rPr>
          <w:rFonts w:ascii="Arial" w:eastAsia="Times New Roman" w:hAnsi="Arial" w:cs="Arial"/>
          <w:color w:val="1F1F1F"/>
          <w:kern w:val="0"/>
          <w:lang w:eastAsia="es-CL"/>
          <w14:ligatures w14:val="none"/>
        </w:rPr>
        <w:t xml:space="preserve"> </w:t>
      </w:r>
    </w:p>
    <w:p w14:paraId="1E0BDAF9" w14:textId="77777777" w:rsidR="00AF0468" w:rsidRPr="00AF0468" w:rsidRDefault="00AF0468" w:rsidP="000541F8">
      <w:pPr>
        <w:numPr>
          <w:ilvl w:val="0"/>
          <w:numId w:val="2"/>
        </w:numPr>
        <w:spacing w:after="0" w:line="240" w:lineRule="auto"/>
        <w:jc w:val="both"/>
        <w:rPr>
          <w:rFonts w:ascii="Arial" w:eastAsia="Times New Roman" w:hAnsi="Arial" w:cs="Arial"/>
          <w:color w:val="1F1F1F"/>
          <w:kern w:val="0"/>
          <w:lang w:eastAsia="es-CL"/>
          <w14:ligatures w14:val="none"/>
        </w:rPr>
      </w:pPr>
      <w:r w:rsidRPr="00AF0468">
        <w:rPr>
          <w:rFonts w:ascii="Arial" w:eastAsia="Times New Roman" w:hAnsi="Arial" w:cs="Arial"/>
          <w:b/>
          <w:bCs/>
          <w:color w:val="1F1F1F"/>
          <w:kern w:val="0"/>
          <w:bdr w:val="none" w:sz="0" w:space="0" w:color="auto" w:frame="1"/>
          <w:lang w:eastAsia="es-CL"/>
          <w14:ligatures w14:val="none"/>
        </w:rPr>
        <w:t>Flexibilización de plazos (Artículo 23):</w:t>
      </w:r>
    </w:p>
    <w:p w14:paraId="47DC4644" w14:textId="77777777" w:rsidR="00AF0468" w:rsidRPr="00AF0468" w:rsidRDefault="00AF0468" w:rsidP="000541F8">
      <w:pPr>
        <w:numPr>
          <w:ilvl w:val="1"/>
          <w:numId w:val="2"/>
        </w:numPr>
        <w:spacing w:after="0" w:line="240" w:lineRule="auto"/>
        <w:jc w:val="both"/>
        <w:rPr>
          <w:rFonts w:ascii="Arial" w:eastAsia="Times New Roman" w:hAnsi="Arial" w:cs="Arial"/>
          <w:color w:val="1F1F1F"/>
          <w:kern w:val="0"/>
          <w:lang w:eastAsia="es-CL"/>
          <w14:ligatures w14:val="none"/>
        </w:rPr>
      </w:pPr>
      <w:r w:rsidRPr="00AF0468">
        <w:rPr>
          <w:rFonts w:ascii="Arial" w:eastAsia="Times New Roman" w:hAnsi="Arial" w:cs="Arial"/>
          <w:color w:val="1F1F1F"/>
          <w:kern w:val="0"/>
          <w:bdr w:val="none" w:sz="0" w:space="0" w:color="auto" w:frame="1"/>
          <w:lang w:eastAsia="es-CL"/>
          <w14:ligatures w14:val="none"/>
        </w:rPr>
        <w:t>Se señala que las comisiones podrán "flexibilizar el tiempo de permanencia en una jerarquía" mediante resolución fundada cuando se cumpla el perfil. No se definen límites mínimos de permanencia ni los casos extraordinarios bajo los cuales aplica esta regla, abriendo espacio a discrecionalidad.</w:t>
      </w:r>
      <w:r w:rsidRPr="00AF0468">
        <w:rPr>
          <w:rFonts w:ascii="Arial" w:eastAsia="Times New Roman" w:hAnsi="Arial" w:cs="Arial"/>
          <w:color w:val="1F1F1F"/>
          <w:kern w:val="0"/>
          <w:lang w:eastAsia="es-CL"/>
          <w14:ligatures w14:val="none"/>
        </w:rPr>
        <w:t xml:space="preserve"> </w:t>
      </w:r>
    </w:p>
    <w:p w14:paraId="6880874D" w14:textId="77777777" w:rsidR="00AF0468" w:rsidRPr="00AF0468" w:rsidRDefault="00AF0468" w:rsidP="000541F8">
      <w:pPr>
        <w:numPr>
          <w:ilvl w:val="0"/>
          <w:numId w:val="2"/>
        </w:numPr>
        <w:spacing w:after="0" w:line="240" w:lineRule="auto"/>
        <w:jc w:val="both"/>
        <w:rPr>
          <w:rFonts w:ascii="Arial" w:eastAsia="Times New Roman" w:hAnsi="Arial" w:cs="Arial"/>
          <w:color w:val="1F1F1F"/>
          <w:kern w:val="0"/>
          <w:lang w:eastAsia="es-CL"/>
          <w14:ligatures w14:val="none"/>
        </w:rPr>
      </w:pPr>
      <w:r w:rsidRPr="00AF0468">
        <w:rPr>
          <w:rFonts w:ascii="Arial" w:eastAsia="Times New Roman" w:hAnsi="Arial" w:cs="Arial"/>
          <w:b/>
          <w:bCs/>
          <w:color w:val="1F1F1F"/>
          <w:kern w:val="0"/>
          <w:bdr w:val="none" w:sz="0" w:space="0" w:color="auto" w:frame="1"/>
          <w:lang w:eastAsia="es-CL"/>
          <w14:ligatures w14:val="none"/>
        </w:rPr>
        <w:t>Ponderación de los compromisos de desempeño (Artículo 83):</w:t>
      </w:r>
    </w:p>
    <w:p w14:paraId="25D384B1" w14:textId="77777777" w:rsidR="00AF0468" w:rsidRPr="00AF0468" w:rsidRDefault="00AF0468" w:rsidP="000541F8">
      <w:pPr>
        <w:numPr>
          <w:ilvl w:val="1"/>
          <w:numId w:val="2"/>
        </w:numPr>
        <w:spacing w:after="0" w:line="240" w:lineRule="auto"/>
        <w:jc w:val="both"/>
        <w:rPr>
          <w:rFonts w:ascii="Arial" w:eastAsia="Times New Roman" w:hAnsi="Arial" w:cs="Arial"/>
          <w:color w:val="1F1F1F"/>
          <w:kern w:val="0"/>
          <w:lang w:eastAsia="es-CL"/>
          <w14:ligatures w14:val="none"/>
        </w:rPr>
      </w:pPr>
      <w:r w:rsidRPr="00AF0468">
        <w:rPr>
          <w:rFonts w:ascii="Arial" w:eastAsia="Times New Roman" w:hAnsi="Arial" w:cs="Arial"/>
          <w:color w:val="1F1F1F"/>
          <w:kern w:val="0"/>
          <w:bdr w:val="none" w:sz="0" w:space="0" w:color="auto" w:frame="1"/>
          <w:lang w:eastAsia="es-CL"/>
          <w14:ligatures w14:val="none"/>
        </w:rPr>
        <w:t>El artículo indica que la ponderación se calculará según las horas asignadas en los compromisos individuales de desempeño. Sin embargo, no se fija un piso o techo de horas de dedicación asignables a cada función (docencia, investigación, gestión, vinculación), lo que puede distorsionar las valoraciones globales de los académicos.</w:t>
      </w:r>
      <w:r w:rsidRPr="00AF0468">
        <w:rPr>
          <w:rFonts w:ascii="Arial" w:eastAsia="Times New Roman" w:hAnsi="Arial" w:cs="Arial"/>
          <w:color w:val="1F1F1F"/>
          <w:kern w:val="0"/>
          <w:lang w:eastAsia="es-CL"/>
          <w14:ligatures w14:val="none"/>
        </w:rPr>
        <w:t xml:space="preserve"> </w:t>
      </w:r>
    </w:p>
    <w:p w14:paraId="3E964D79" w14:textId="77777777" w:rsidR="00AF0468" w:rsidRPr="00AF0468" w:rsidRDefault="00AF0468" w:rsidP="000541F8">
      <w:pPr>
        <w:spacing w:after="0" w:line="240" w:lineRule="auto"/>
        <w:jc w:val="both"/>
        <w:outlineLvl w:val="2"/>
        <w:rPr>
          <w:rFonts w:ascii="Arial" w:eastAsia="Times New Roman" w:hAnsi="Arial" w:cs="Arial"/>
          <w:b/>
          <w:bCs/>
          <w:color w:val="1F1F1F"/>
          <w:kern w:val="0"/>
          <w:sz w:val="27"/>
          <w:szCs w:val="27"/>
          <w:lang w:eastAsia="es-CL"/>
          <w14:ligatures w14:val="none"/>
        </w:rPr>
      </w:pPr>
      <w:r w:rsidRPr="00AF0468">
        <w:rPr>
          <w:rFonts w:ascii="Arial" w:eastAsia="Times New Roman" w:hAnsi="Arial" w:cs="Arial"/>
          <w:b/>
          <w:bCs/>
          <w:color w:val="1F1F1F"/>
          <w:kern w:val="0"/>
          <w:sz w:val="27"/>
          <w:szCs w:val="27"/>
          <w:lang w:eastAsia="es-CL"/>
          <w14:ligatures w14:val="none"/>
        </w:rPr>
        <w:t>3. Criterios Subjetivos y Lenguaje Indeterminado</w:t>
      </w:r>
    </w:p>
    <w:p w14:paraId="2726E643" w14:textId="77777777" w:rsidR="00AF0468" w:rsidRPr="00AF0468" w:rsidRDefault="00AF0468" w:rsidP="000541F8">
      <w:pPr>
        <w:numPr>
          <w:ilvl w:val="0"/>
          <w:numId w:val="3"/>
        </w:numPr>
        <w:spacing w:after="0" w:line="240" w:lineRule="auto"/>
        <w:jc w:val="both"/>
        <w:rPr>
          <w:rFonts w:ascii="Arial" w:eastAsia="Times New Roman" w:hAnsi="Arial" w:cs="Arial"/>
          <w:color w:val="1F1F1F"/>
          <w:kern w:val="0"/>
          <w:lang w:eastAsia="es-CL"/>
          <w14:ligatures w14:val="none"/>
        </w:rPr>
      </w:pPr>
      <w:r w:rsidRPr="00AF0468">
        <w:rPr>
          <w:rFonts w:ascii="Arial" w:eastAsia="Times New Roman" w:hAnsi="Arial" w:cs="Arial"/>
          <w:b/>
          <w:bCs/>
          <w:color w:val="1F1F1F"/>
          <w:kern w:val="0"/>
          <w:bdr w:val="none" w:sz="0" w:space="0" w:color="auto" w:frame="1"/>
          <w:lang w:eastAsia="es-CL"/>
          <w14:ligatures w14:val="none"/>
        </w:rPr>
        <w:t>Uso de adjetivos indeterminados para requisitos de promoción:</w:t>
      </w:r>
    </w:p>
    <w:p w14:paraId="1A5C60E0" w14:textId="77777777" w:rsidR="00AF0468" w:rsidRPr="00AF0468" w:rsidRDefault="00AF0468" w:rsidP="000541F8">
      <w:pPr>
        <w:numPr>
          <w:ilvl w:val="1"/>
          <w:numId w:val="3"/>
        </w:numPr>
        <w:spacing w:after="0" w:line="240" w:lineRule="auto"/>
        <w:jc w:val="both"/>
        <w:rPr>
          <w:rFonts w:ascii="Arial" w:eastAsia="Times New Roman" w:hAnsi="Arial" w:cs="Arial"/>
          <w:color w:val="1F1F1F"/>
          <w:kern w:val="0"/>
          <w:lang w:eastAsia="es-CL"/>
          <w14:ligatures w14:val="none"/>
        </w:rPr>
      </w:pPr>
      <w:r w:rsidRPr="00AF0468">
        <w:rPr>
          <w:rFonts w:ascii="Arial" w:eastAsia="Times New Roman" w:hAnsi="Arial" w:cs="Arial"/>
          <w:color w:val="1F1F1F"/>
          <w:kern w:val="0"/>
          <w:bdr w:val="none" w:sz="0" w:space="0" w:color="auto" w:frame="1"/>
          <w:lang w:eastAsia="es-CL"/>
          <w14:ligatures w14:val="none"/>
        </w:rPr>
        <w:t>Para Profesor/a Titular (Art. 7 y 9): exige "trayectoria académica de excelencia", "liderazgo sostenido y consolidado", "impacto demostrable" o "contribución institucional relevante".</w:t>
      </w:r>
      <w:r w:rsidRPr="00AF0468">
        <w:rPr>
          <w:rFonts w:ascii="Arial" w:eastAsia="Times New Roman" w:hAnsi="Arial" w:cs="Arial"/>
          <w:color w:val="1F1F1F"/>
          <w:kern w:val="0"/>
          <w:lang w:eastAsia="es-CL"/>
          <w14:ligatures w14:val="none"/>
        </w:rPr>
        <w:t xml:space="preserve"> </w:t>
      </w:r>
    </w:p>
    <w:p w14:paraId="64FD1E41" w14:textId="77777777" w:rsidR="00AF0468" w:rsidRPr="00AF0468" w:rsidRDefault="00AF0468" w:rsidP="000541F8">
      <w:pPr>
        <w:numPr>
          <w:ilvl w:val="1"/>
          <w:numId w:val="3"/>
        </w:numPr>
        <w:spacing w:after="0" w:line="240" w:lineRule="auto"/>
        <w:jc w:val="both"/>
        <w:rPr>
          <w:rFonts w:ascii="Arial" w:eastAsia="Times New Roman" w:hAnsi="Arial" w:cs="Arial"/>
          <w:color w:val="1F1F1F"/>
          <w:kern w:val="0"/>
          <w:lang w:eastAsia="es-CL"/>
          <w14:ligatures w14:val="none"/>
        </w:rPr>
      </w:pPr>
      <w:r w:rsidRPr="00AF0468">
        <w:rPr>
          <w:rFonts w:ascii="Arial" w:eastAsia="Times New Roman" w:hAnsi="Arial" w:cs="Arial"/>
          <w:color w:val="1F1F1F"/>
          <w:kern w:val="0"/>
          <w:bdr w:val="none" w:sz="0" w:space="0" w:color="auto" w:frame="1"/>
          <w:lang w:eastAsia="es-CL"/>
          <w14:ligatures w14:val="none"/>
        </w:rPr>
        <w:t>Para Profesor/a Asociado/a (Art. 11 y 13): exige "dominio sólido y reconocido", "contribución sostenida y relevante" o "reconocimiento importante".</w:t>
      </w:r>
      <w:r w:rsidRPr="00AF0468">
        <w:rPr>
          <w:rFonts w:ascii="Arial" w:eastAsia="Times New Roman" w:hAnsi="Arial" w:cs="Arial"/>
          <w:color w:val="1F1F1F"/>
          <w:kern w:val="0"/>
          <w:lang w:eastAsia="es-CL"/>
          <w14:ligatures w14:val="none"/>
        </w:rPr>
        <w:t xml:space="preserve"> </w:t>
      </w:r>
    </w:p>
    <w:p w14:paraId="5D7E9C3F" w14:textId="77777777" w:rsidR="00AF0468" w:rsidRPr="00AF0468" w:rsidRDefault="00AF0468" w:rsidP="000541F8">
      <w:pPr>
        <w:numPr>
          <w:ilvl w:val="1"/>
          <w:numId w:val="3"/>
        </w:numPr>
        <w:spacing w:after="0" w:line="240" w:lineRule="auto"/>
        <w:jc w:val="both"/>
        <w:rPr>
          <w:rFonts w:ascii="Arial" w:eastAsia="Times New Roman" w:hAnsi="Arial" w:cs="Arial"/>
          <w:color w:val="1F1F1F"/>
          <w:kern w:val="0"/>
          <w:lang w:eastAsia="es-CL"/>
          <w14:ligatures w14:val="none"/>
        </w:rPr>
      </w:pPr>
      <w:r w:rsidRPr="00AF0468">
        <w:rPr>
          <w:rFonts w:ascii="Arial" w:eastAsia="Times New Roman" w:hAnsi="Arial" w:cs="Arial"/>
          <w:color w:val="1F1F1F"/>
          <w:kern w:val="0"/>
          <w:bdr w:val="none" w:sz="0" w:space="0" w:color="auto" w:frame="1"/>
          <w:lang w:eastAsia="es-CL"/>
          <w14:ligatures w14:val="none"/>
        </w:rPr>
        <w:t>Para Profesor/a Asistente (Art. 15): exige "contribución sobresaliente" en la docencia.</w:t>
      </w:r>
      <w:r w:rsidRPr="00AF0468">
        <w:rPr>
          <w:rFonts w:ascii="Arial" w:eastAsia="Times New Roman" w:hAnsi="Arial" w:cs="Arial"/>
          <w:color w:val="1F1F1F"/>
          <w:kern w:val="0"/>
          <w:lang w:eastAsia="es-CL"/>
          <w14:ligatures w14:val="none"/>
        </w:rPr>
        <w:t xml:space="preserve"> </w:t>
      </w:r>
    </w:p>
    <w:p w14:paraId="5D3D07A8" w14:textId="77777777" w:rsidR="00AF0468" w:rsidRPr="00AF0468" w:rsidRDefault="00AF0468" w:rsidP="000541F8">
      <w:pPr>
        <w:numPr>
          <w:ilvl w:val="1"/>
          <w:numId w:val="3"/>
        </w:numPr>
        <w:spacing w:after="0" w:line="240" w:lineRule="auto"/>
        <w:jc w:val="both"/>
        <w:rPr>
          <w:rFonts w:ascii="Arial" w:eastAsia="Times New Roman" w:hAnsi="Arial" w:cs="Arial"/>
          <w:color w:val="1F1F1F"/>
          <w:kern w:val="0"/>
          <w:lang w:eastAsia="es-CL"/>
          <w14:ligatures w14:val="none"/>
        </w:rPr>
      </w:pPr>
      <w:r w:rsidRPr="00AF0468">
        <w:rPr>
          <w:rFonts w:ascii="Arial" w:eastAsia="Times New Roman" w:hAnsi="Arial" w:cs="Arial"/>
          <w:i/>
          <w:iCs/>
          <w:color w:val="1F1F1F"/>
          <w:kern w:val="0"/>
          <w:bdr w:val="none" w:sz="0" w:space="0" w:color="auto" w:frame="1"/>
          <w:lang w:eastAsia="es-CL"/>
          <w14:ligatures w14:val="none"/>
        </w:rPr>
        <w:t>Observación:</w:t>
      </w:r>
      <w:r w:rsidRPr="00AF0468">
        <w:rPr>
          <w:rFonts w:ascii="Arial" w:eastAsia="Times New Roman" w:hAnsi="Arial" w:cs="Arial"/>
          <w:color w:val="1F1F1F"/>
          <w:kern w:val="0"/>
          <w:lang w:eastAsia="es-CL"/>
          <w14:ligatures w14:val="none"/>
        </w:rPr>
        <w:t xml:space="preserve"> Estos términos carecen de umbrales operacionales claros (p. ej., cantidad de publicaciones indexadas WOS/SCOPUS, patentes, montos adjudicados en proyectos </w:t>
      </w:r>
      <w:proofErr w:type="spellStart"/>
      <w:r w:rsidRPr="00AF0468">
        <w:rPr>
          <w:rFonts w:ascii="Arial" w:eastAsia="Times New Roman" w:hAnsi="Arial" w:cs="Arial"/>
          <w:color w:val="1F1F1F"/>
          <w:kern w:val="0"/>
          <w:lang w:eastAsia="es-CL"/>
          <w14:ligatures w14:val="none"/>
        </w:rPr>
        <w:t>Fondecyt</w:t>
      </w:r>
      <w:proofErr w:type="spellEnd"/>
      <w:r w:rsidRPr="00AF0468">
        <w:rPr>
          <w:rFonts w:ascii="Arial" w:eastAsia="Times New Roman" w:hAnsi="Arial" w:cs="Arial"/>
          <w:color w:val="1F1F1F"/>
          <w:kern w:val="0"/>
          <w:lang w:eastAsia="es-CL"/>
          <w14:ligatures w14:val="none"/>
        </w:rPr>
        <w:t xml:space="preserve"> o equivalentes), dejando la interpretación a la subjetividad del comité evaluador de turno.</w:t>
      </w:r>
    </w:p>
    <w:p w14:paraId="095BB205" w14:textId="77777777" w:rsidR="00AF0468" w:rsidRPr="00AF0468" w:rsidRDefault="00AF0468" w:rsidP="000541F8">
      <w:pPr>
        <w:numPr>
          <w:ilvl w:val="0"/>
          <w:numId w:val="3"/>
        </w:numPr>
        <w:spacing w:after="0" w:line="240" w:lineRule="auto"/>
        <w:jc w:val="both"/>
        <w:rPr>
          <w:rFonts w:ascii="Arial" w:eastAsia="Times New Roman" w:hAnsi="Arial" w:cs="Arial"/>
          <w:color w:val="1F1F1F"/>
          <w:kern w:val="0"/>
          <w:lang w:eastAsia="es-CL"/>
          <w14:ligatures w14:val="none"/>
        </w:rPr>
      </w:pPr>
      <w:r w:rsidRPr="00AF0468">
        <w:rPr>
          <w:rFonts w:ascii="Arial" w:eastAsia="Times New Roman" w:hAnsi="Arial" w:cs="Arial"/>
          <w:b/>
          <w:bCs/>
          <w:color w:val="1F1F1F"/>
          <w:kern w:val="0"/>
          <w:bdr w:val="none" w:sz="0" w:space="0" w:color="auto" w:frame="1"/>
          <w:lang w:eastAsia="es-CL"/>
          <w14:ligatures w14:val="none"/>
        </w:rPr>
        <w:t>Aprobación de excepciones por la Vicerrectoría Académica:</w:t>
      </w:r>
    </w:p>
    <w:p w14:paraId="1DC91235" w14:textId="77777777" w:rsidR="00AF0468" w:rsidRPr="00AF0468" w:rsidRDefault="00AF0468" w:rsidP="000541F8">
      <w:pPr>
        <w:numPr>
          <w:ilvl w:val="1"/>
          <w:numId w:val="3"/>
        </w:numPr>
        <w:spacing w:after="0" w:line="240" w:lineRule="auto"/>
        <w:jc w:val="both"/>
        <w:rPr>
          <w:rFonts w:ascii="Arial" w:eastAsia="Times New Roman" w:hAnsi="Arial" w:cs="Arial"/>
          <w:color w:val="1F1F1F"/>
          <w:kern w:val="0"/>
          <w:lang w:eastAsia="es-CL"/>
          <w14:ligatures w14:val="none"/>
        </w:rPr>
      </w:pPr>
      <w:r w:rsidRPr="00AF0468">
        <w:rPr>
          <w:rFonts w:ascii="Arial" w:eastAsia="Times New Roman" w:hAnsi="Arial" w:cs="Arial"/>
          <w:color w:val="1F1F1F"/>
          <w:kern w:val="0"/>
          <w:bdr w:val="none" w:sz="0" w:space="0" w:color="auto" w:frame="1"/>
          <w:lang w:eastAsia="es-CL"/>
          <w14:ligatures w14:val="none"/>
        </w:rPr>
        <w:t>El Artículo 25 (letra a) contempla la exención de la obligatoriedad de dictar docencia de pregrado bajo "circunstancias objetivas que lo justifiquen" aprobadas semestralmente por la Vicerrectoría Académica.</w:t>
      </w:r>
      <w:r w:rsidRPr="00AF0468">
        <w:rPr>
          <w:rFonts w:ascii="Arial" w:eastAsia="Times New Roman" w:hAnsi="Arial" w:cs="Arial"/>
          <w:color w:val="1F1F1F"/>
          <w:kern w:val="0"/>
          <w:lang w:eastAsia="es-CL"/>
          <w14:ligatures w14:val="none"/>
        </w:rPr>
        <w:t xml:space="preserve"> </w:t>
      </w:r>
    </w:p>
    <w:p w14:paraId="45CC2B0F" w14:textId="77777777" w:rsidR="00AF0468" w:rsidRPr="00AF0468" w:rsidRDefault="00AF0468" w:rsidP="000541F8">
      <w:pPr>
        <w:numPr>
          <w:ilvl w:val="1"/>
          <w:numId w:val="3"/>
        </w:numPr>
        <w:spacing w:after="0" w:line="240" w:lineRule="auto"/>
        <w:jc w:val="both"/>
        <w:rPr>
          <w:rFonts w:ascii="Arial" w:eastAsia="Times New Roman" w:hAnsi="Arial" w:cs="Arial"/>
          <w:color w:val="1F1F1F"/>
          <w:kern w:val="0"/>
          <w:lang w:eastAsia="es-CL"/>
          <w14:ligatures w14:val="none"/>
        </w:rPr>
      </w:pPr>
      <w:r w:rsidRPr="00AF0468">
        <w:rPr>
          <w:rFonts w:ascii="Arial" w:eastAsia="Times New Roman" w:hAnsi="Arial" w:cs="Arial"/>
          <w:color w:val="1F1F1F"/>
          <w:kern w:val="0"/>
          <w:bdr w:val="none" w:sz="0" w:space="0" w:color="auto" w:frame="1"/>
          <w:lang w:eastAsia="es-CL"/>
          <w14:ligatures w14:val="none"/>
        </w:rPr>
        <w:t>El Artículo 106 atribuye a la misma Vicerrectoría la facultad de resolver "cualquier otra situación especial o excepción... que no se encuentre contemplada".</w:t>
      </w:r>
      <w:r w:rsidRPr="00AF0468">
        <w:rPr>
          <w:rFonts w:ascii="Arial" w:eastAsia="Times New Roman" w:hAnsi="Arial" w:cs="Arial"/>
          <w:color w:val="1F1F1F"/>
          <w:kern w:val="0"/>
          <w:lang w:eastAsia="es-CL"/>
          <w14:ligatures w14:val="none"/>
        </w:rPr>
        <w:t xml:space="preserve"> </w:t>
      </w:r>
    </w:p>
    <w:p w14:paraId="449CB3F1" w14:textId="77777777" w:rsidR="00AF0468" w:rsidRPr="00AF0468" w:rsidRDefault="00AF0468" w:rsidP="000541F8">
      <w:pPr>
        <w:numPr>
          <w:ilvl w:val="1"/>
          <w:numId w:val="3"/>
        </w:numPr>
        <w:spacing w:after="0" w:line="240" w:lineRule="auto"/>
        <w:jc w:val="both"/>
        <w:rPr>
          <w:rFonts w:ascii="Arial" w:eastAsia="Times New Roman" w:hAnsi="Arial" w:cs="Arial"/>
          <w:color w:val="1F1F1F"/>
          <w:kern w:val="0"/>
          <w:lang w:eastAsia="es-CL"/>
          <w14:ligatures w14:val="none"/>
        </w:rPr>
      </w:pPr>
      <w:r w:rsidRPr="00AF0468">
        <w:rPr>
          <w:rFonts w:ascii="Arial" w:eastAsia="Times New Roman" w:hAnsi="Arial" w:cs="Arial"/>
          <w:i/>
          <w:iCs/>
          <w:color w:val="1F1F1F"/>
          <w:kern w:val="0"/>
          <w:bdr w:val="none" w:sz="0" w:space="0" w:color="auto" w:frame="1"/>
          <w:lang w:eastAsia="es-CL"/>
          <w14:ligatures w14:val="none"/>
        </w:rPr>
        <w:t>Observación:</w:t>
      </w:r>
      <w:r w:rsidRPr="00AF0468">
        <w:rPr>
          <w:rFonts w:ascii="Arial" w:eastAsia="Times New Roman" w:hAnsi="Arial" w:cs="Arial"/>
          <w:color w:val="1F1F1F"/>
          <w:kern w:val="0"/>
          <w:lang w:eastAsia="es-CL"/>
          <w14:ligatures w14:val="none"/>
        </w:rPr>
        <w:t xml:space="preserve"> Concentrar el poder de excepción en una sola unidad unipersonal abre la puerta a decisiones de discrecionalidad política o administrativa en lugar de evaluaciones colegiadas.</w:t>
      </w:r>
    </w:p>
    <w:p w14:paraId="7DF20D32" w14:textId="49F125D5" w:rsidR="00332A80" w:rsidRPr="00332A80" w:rsidRDefault="00AF0468" w:rsidP="000541F8">
      <w:pPr>
        <w:spacing w:after="0" w:line="240" w:lineRule="auto"/>
        <w:jc w:val="both"/>
        <w:outlineLvl w:val="2"/>
        <w:rPr>
          <w:rFonts w:ascii="Arial" w:eastAsia="Times New Roman" w:hAnsi="Arial" w:cs="Arial"/>
          <w:b/>
          <w:bCs/>
          <w:color w:val="1F1F1F"/>
          <w:kern w:val="0"/>
          <w:sz w:val="27"/>
          <w:szCs w:val="27"/>
          <w:lang w:eastAsia="es-CL"/>
          <w14:ligatures w14:val="none"/>
        </w:rPr>
      </w:pPr>
      <w:r w:rsidRPr="00AF0468">
        <w:rPr>
          <w:rFonts w:ascii="Arial" w:eastAsia="Times New Roman" w:hAnsi="Arial" w:cs="Arial"/>
          <w:b/>
          <w:bCs/>
          <w:color w:val="1F1F1F"/>
          <w:kern w:val="0"/>
          <w:sz w:val="27"/>
          <w:szCs w:val="27"/>
          <w:lang w:eastAsia="es-CL"/>
          <w14:ligatures w14:val="none"/>
        </w:rPr>
        <w:lastRenderedPageBreak/>
        <w:t>Resumen de Recomendaciones</w:t>
      </w:r>
    </w:p>
    <w:p w14:paraId="5F23FE52" w14:textId="046436A4" w:rsidR="00F5229D" w:rsidRDefault="00AF0468" w:rsidP="000541F8">
      <w:pPr>
        <w:numPr>
          <w:ilvl w:val="0"/>
          <w:numId w:val="4"/>
        </w:numPr>
        <w:spacing w:after="0" w:line="240" w:lineRule="auto"/>
        <w:jc w:val="both"/>
        <w:rPr>
          <w:rFonts w:ascii="Arial" w:eastAsia="Times New Roman" w:hAnsi="Arial" w:cs="Arial"/>
          <w:color w:val="1F1F1F"/>
          <w:kern w:val="0"/>
          <w:lang w:eastAsia="es-CL"/>
          <w14:ligatures w14:val="none"/>
        </w:rPr>
      </w:pPr>
      <w:r w:rsidRPr="00AF0468">
        <w:rPr>
          <w:rFonts w:ascii="Arial" w:eastAsia="Times New Roman" w:hAnsi="Arial" w:cs="Arial"/>
          <w:b/>
          <w:bCs/>
          <w:color w:val="1F1F1F"/>
          <w:kern w:val="0"/>
          <w:bdr w:val="none" w:sz="0" w:space="0" w:color="auto" w:frame="1"/>
          <w:lang w:eastAsia="es-CL"/>
          <w14:ligatures w14:val="none"/>
        </w:rPr>
        <w:t>Definir explícitamente las Rúbricas e Indicadores</w:t>
      </w:r>
      <w:r w:rsidR="000541F8">
        <w:rPr>
          <w:rFonts w:ascii="Arial" w:eastAsia="Times New Roman" w:hAnsi="Arial" w:cs="Arial"/>
          <w:b/>
          <w:bCs/>
          <w:color w:val="1F1F1F"/>
          <w:kern w:val="0"/>
          <w:bdr w:val="none" w:sz="0" w:space="0" w:color="auto" w:frame="1"/>
          <w:lang w:eastAsia="es-CL"/>
          <w14:ligatures w14:val="none"/>
        </w:rPr>
        <w:t xml:space="preserve"> (criterios objetivos)</w:t>
      </w:r>
      <w:r w:rsidRPr="00AF0468">
        <w:rPr>
          <w:rFonts w:ascii="Arial" w:eastAsia="Times New Roman" w:hAnsi="Arial" w:cs="Arial"/>
          <w:b/>
          <w:bCs/>
          <w:color w:val="1F1F1F"/>
          <w:kern w:val="0"/>
          <w:bdr w:val="none" w:sz="0" w:space="0" w:color="auto" w:frame="1"/>
          <w:lang w:eastAsia="es-CL"/>
          <w14:ligatures w14:val="none"/>
        </w:rPr>
        <w:t>:</w:t>
      </w:r>
      <w:r w:rsidRPr="00AF0468">
        <w:rPr>
          <w:rFonts w:ascii="Arial" w:eastAsia="Times New Roman" w:hAnsi="Arial" w:cs="Arial"/>
          <w:color w:val="1F1F1F"/>
          <w:kern w:val="0"/>
          <w:lang w:eastAsia="es-CL"/>
          <w14:ligatures w14:val="none"/>
        </w:rPr>
        <w:t xml:space="preserve"> Incluir anexos técnicos o un catálogo preciso que traduzca adjetivos como "destacado", "sobresaliente" o "relevante" en metas de productividad verificables (número de publicaciones, horas de innovación pedagógica, proyectos adjudicados).</w:t>
      </w:r>
      <w:r w:rsidR="00332A80">
        <w:rPr>
          <w:rFonts w:ascii="Arial" w:eastAsia="Times New Roman" w:hAnsi="Arial" w:cs="Arial"/>
          <w:color w:val="1F1F1F"/>
          <w:kern w:val="0"/>
          <w:lang w:eastAsia="es-CL"/>
          <w14:ligatures w14:val="none"/>
        </w:rPr>
        <w:t xml:space="preserve"> En otras palabras</w:t>
      </w:r>
      <w:r w:rsidR="00F5229D">
        <w:rPr>
          <w:rFonts w:ascii="Arial" w:eastAsia="Times New Roman" w:hAnsi="Arial" w:cs="Arial"/>
          <w:color w:val="1F1F1F"/>
          <w:kern w:val="0"/>
          <w:lang w:eastAsia="es-CL"/>
          <w14:ligatures w14:val="none"/>
        </w:rPr>
        <w:t>,</w:t>
      </w:r>
      <w:r w:rsidR="00332A80">
        <w:rPr>
          <w:rFonts w:ascii="Arial" w:eastAsia="Times New Roman" w:hAnsi="Arial" w:cs="Arial"/>
          <w:color w:val="1F1F1F"/>
          <w:kern w:val="0"/>
          <w:lang w:eastAsia="es-CL"/>
          <w14:ligatures w14:val="none"/>
        </w:rPr>
        <w:t xml:space="preserve"> </w:t>
      </w:r>
      <w:r w:rsidR="00F5229D">
        <w:rPr>
          <w:rFonts w:ascii="Arial" w:eastAsia="Times New Roman" w:hAnsi="Arial" w:cs="Arial"/>
          <w:color w:val="1F1F1F"/>
          <w:kern w:val="0"/>
          <w:lang w:eastAsia="es-CL"/>
          <w14:ligatures w14:val="none"/>
        </w:rPr>
        <w:t>es imprescindible</w:t>
      </w:r>
      <w:r w:rsidR="00332A80">
        <w:rPr>
          <w:rFonts w:ascii="Arial" w:eastAsia="Times New Roman" w:hAnsi="Arial" w:cs="Arial"/>
          <w:color w:val="1F1F1F"/>
          <w:kern w:val="0"/>
          <w:lang w:eastAsia="es-CL"/>
          <w14:ligatures w14:val="none"/>
        </w:rPr>
        <w:t xml:space="preserve"> el establecimiento de </w:t>
      </w:r>
      <w:r w:rsidR="00F5229D">
        <w:rPr>
          <w:rFonts w:ascii="Arial" w:eastAsia="Times New Roman" w:hAnsi="Arial" w:cs="Arial"/>
          <w:color w:val="1F1F1F"/>
          <w:kern w:val="0"/>
          <w:lang w:eastAsia="es-CL"/>
          <w14:ligatures w14:val="none"/>
        </w:rPr>
        <w:t xml:space="preserve">un </w:t>
      </w:r>
      <w:r w:rsidR="00F5229D" w:rsidRPr="00F5229D">
        <w:rPr>
          <w:rFonts w:ascii="Arial" w:eastAsia="Times New Roman" w:hAnsi="Arial" w:cs="Arial"/>
          <w:b/>
          <w:bCs/>
          <w:color w:val="1F1F1F"/>
          <w:kern w:val="0"/>
          <w:lang w:eastAsia="es-CL"/>
          <w14:ligatures w14:val="none"/>
        </w:rPr>
        <w:t>reglamento objetivo de jerarquización</w:t>
      </w:r>
      <w:r w:rsidR="00F5229D">
        <w:rPr>
          <w:rFonts w:ascii="Arial" w:eastAsia="Times New Roman" w:hAnsi="Arial" w:cs="Arial"/>
          <w:b/>
          <w:bCs/>
          <w:color w:val="1F1F1F"/>
          <w:kern w:val="0"/>
          <w:lang w:eastAsia="es-CL"/>
          <w14:ligatures w14:val="none"/>
        </w:rPr>
        <w:t>.</w:t>
      </w:r>
    </w:p>
    <w:p w14:paraId="14EB7549" w14:textId="7DEE1FAE" w:rsidR="0006621C" w:rsidRPr="0006621C" w:rsidRDefault="00332A80" w:rsidP="000541F8">
      <w:pPr>
        <w:numPr>
          <w:ilvl w:val="0"/>
          <w:numId w:val="4"/>
        </w:numPr>
        <w:spacing w:after="0" w:line="240" w:lineRule="auto"/>
        <w:jc w:val="both"/>
        <w:rPr>
          <w:rFonts w:ascii="Arial" w:eastAsia="Times New Roman" w:hAnsi="Arial" w:cs="Arial"/>
          <w:color w:val="1F1F1F"/>
          <w:kern w:val="0"/>
          <w:lang w:eastAsia="es-CL"/>
          <w14:ligatures w14:val="none"/>
        </w:rPr>
      </w:pPr>
      <w:r w:rsidRPr="00F5229D">
        <w:rPr>
          <w:rFonts w:ascii="Arial" w:eastAsia="Times New Roman" w:hAnsi="Arial" w:cs="Arial"/>
          <w:b/>
          <w:bCs/>
          <w:color w:val="1F1F1F"/>
          <w:kern w:val="0"/>
          <w:bdr w:val="none" w:sz="0" w:space="0" w:color="auto" w:frame="1"/>
          <w:lang w:eastAsia="es-CL"/>
          <w14:ligatures w14:val="none"/>
        </w:rPr>
        <w:t>Establecer</w:t>
      </w:r>
      <w:r w:rsidR="00F5229D">
        <w:rPr>
          <w:rFonts w:ascii="Arial" w:eastAsia="Times New Roman" w:hAnsi="Arial" w:cs="Arial"/>
          <w:b/>
          <w:bCs/>
          <w:color w:val="1F1F1F"/>
          <w:kern w:val="0"/>
          <w:bdr w:val="none" w:sz="0" w:space="0" w:color="auto" w:frame="1"/>
          <w:lang w:eastAsia="es-CL"/>
          <w14:ligatures w14:val="none"/>
        </w:rPr>
        <w:t xml:space="preserve"> una Comisión de Apelación independiente de la </w:t>
      </w:r>
      <w:bookmarkStart w:id="0" w:name="_Hlk237256735"/>
      <w:r w:rsidR="00F5229D">
        <w:rPr>
          <w:rFonts w:ascii="Arial" w:eastAsia="Times New Roman" w:hAnsi="Arial" w:cs="Arial"/>
          <w:b/>
          <w:bCs/>
          <w:color w:val="1F1F1F"/>
          <w:kern w:val="0"/>
          <w:bdr w:val="none" w:sz="0" w:space="0" w:color="auto" w:frame="1"/>
          <w:lang w:eastAsia="es-CL"/>
          <w14:ligatures w14:val="none"/>
        </w:rPr>
        <w:t>Comisión de Evaluación Académica Superior</w:t>
      </w:r>
      <w:bookmarkEnd w:id="0"/>
      <w:r w:rsidR="00F5229D" w:rsidRPr="00F5229D">
        <w:rPr>
          <w:rFonts w:ascii="Arial" w:eastAsia="Times New Roman" w:hAnsi="Arial" w:cs="Arial"/>
          <w:b/>
          <w:bCs/>
          <w:color w:val="1F1F1F"/>
          <w:kern w:val="0"/>
          <w:bdr w:val="none" w:sz="0" w:space="0" w:color="auto" w:frame="1"/>
          <w:lang w:eastAsia="es-CL"/>
          <w14:ligatures w14:val="none"/>
        </w:rPr>
        <w:t>.</w:t>
      </w:r>
      <w:r w:rsidR="00F5229D" w:rsidRPr="00F5229D">
        <w:rPr>
          <w:rFonts w:ascii="Arial" w:eastAsia="Times New Roman" w:hAnsi="Arial" w:cs="Arial"/>
          <w:color w:val="1F1F1F"/>
          <w:kern w:val="0"/>
          <w:lang w:eastAsia="es-CL"/>
          <w14:ligatures w14:val="none"/>
        </w:rPr>
        <w:t xml:space="preserve"> La independencia del órgano revisor es un principio fundamental del </w:t>
      </w:r>
      <w:r w:rsidR="00F5229D" w:rsidRPr="00F5229D">
        <w:rPr>
          <w:rFonts w:ascii="Arial" w:eastAsia="Times New Roman" w:hAnsi="Arial" w:cs="Arial"/>
          <w:b/>
          <w:bCs/>
          <w:color w:val="1F1F1F"/>
          <w:kern w:val="0"/>
          <w:bdr w:val="none" w:sz="0" w:space="0" w:color="auto" w:frame="1"/>
          <w:lang w:eastAsia="es-CL"/>
          <w14:ligatures w14:val="none"/>
        </w:rPr>
        <w:t>debido proceso</w:t>
      </w:r>
      <w:r w:rsidR="00F5229D" w:rsidRPr="00F5229D">
        <w:rPr>
          <w:rFonts w:ascii="Arial" w:eastAsia="Times New Roman" w:hAnsi="Arial" w:cs="Arial"/>
          <w:color w:val="1F1F1F"/>
          <w:kern w:val="0"/>
          <w:lang w:eastAsia="es-CL"/>
          <w14:ligatures w14:val="none"/>
        </w:rPr>
        <w:t xml:space="preserve"> laboral y académico</w:t>
      </w:r>
      <w:r w:rsidR="0006621C">
        <w:rPr>
          <w:rFonts w:ascii="Arial" w:eastAsia="Times New Roman" w:hAnsi="Arial" w:cs="Arial"/>
          <w:color w:val="1F1F1F"/>
          <w:kern w:val="0"/>
          <w:lang w:eastAsia="es-CL"/>
          <w14:ligatures w14:val="none"/>
        </w:rPr>
        <w:t>, ya que c</w:t>
      </w:r>
      <w:r w:rsidR="0006621C" w:rsidRPr="0006621C">
        <w:rPr>
          <w:rFonts w:ascii="Arial" w:eastAsia="Times New Roman" w:hAnsi="Arial" w:cs="Arial"/>
          <w:color w:val="1F1F1F"/>
          <w:kern w:val="0"/>
          <w:lang w:eastAsia="es-CL"/>
          <w14:ligatures w14:val="none"/>
        </w:rPr>
        <w:t>uando la Comisión de Evaluación Académica Superior</w:t>
      </w:r>
      <w:r w:rsidR="0006621C" w:rsidRPr="0006621C">
        <w:rPr>
          <w:rFonts w:ascii="Arial" w:eastAsia="Times New Roman" w:hAnsi="Arial" w:cs="Arial"/>
          <w:color w:val="1F1F1F"/>
          <w:kern w:val="0"/>
          <w:lang w:eastAsia="es-CL"/>
          <w14:ligatures w14:val="none"/>
        </w:rPr>
        <w:t xml:space="preserve"> </w:t>
      </w:r>
      <w:r w:rsidR="0006621C" w:rsidRPr="0006621C">
        <w:rPr>
          <w:rFonts w:ascii="Arial" w:eastAsia="Times New Roman" w:hAnsi="Arial" w:cs="Arial"/>
          <w:color w:val="1F1F1F"/>
          <w:kern w:val="0"/>
          <w:lang w:eastAsia="es-CL"/>
          <w14:ligatures w14:val="none"/>
        </w:rPr>
        <w:t xml:space="preserve">actúa como órgano regular de jerarquización y, al mismo tiempo, como tribunal de apelación/reconsideración de sus propias decisiones, actúa como </w:t>
      </w:r>
      <w:r w:rsidR="0006621C" w:rsidRPr="0006621C">
        <w:rPr>
          <w:rFonts w:ascii="Arial" w:eastAsia="Times New Roman" w:hAnsi="Arial" w:cs="Arial"/>
          <w:b/>
          <w:bCs/>
          <w:color w:val="1F1F1F"/>
          <w:kern w:val="0"/>
          <w:bdr w:val="none" w:sz="0" w:space="0" w:color="auto" w:frame="1"/>
          <w:lang w:eastAsia="es-CL"/>
          <w14:ligatures w14:val="none"/>
        </w:rPr>
        <w:t>"juez y parte"</w:t>
      </w:r>
      <w:r w:rsidR="0006621C" w:rsidRPr="0006621C">
        <w:rPr>
          <w:rFonts w:ascii="Arial" w:eastAsia="Times New Roman" w:hAnsi="Arial" w:cs="Arial"/>
          <w:color w:val="1F1F1F"/>
          <w:kern w:val="0"/>
          <w:lang w:eastAsia="es-CL"/>
          <w14:ligatures w14:val="none"/>
        </w:rPr>
        <w:t>. Esto vulnera el principio de imparcialidad.</w:t>
      </w:r>
      <w:r w:rsidR="0006621C" w:rsidRPr="0006621C">
        <w:rPr>
          <w:rFonts w:ascii="Arial" w:eastAsia="Times New Roman" w:hAnsi="Arial" w:cs="Arial"/>
          <w:b/>
          <w:bCs/>
          <w:color w:val="1F1F1F"/>
          <w:kern w:val="0"/>
          <w:bdr w:val="none" w:sz="0" w:space="0" w:color="auto" w:frame="1"/>
          <w:lang w:eastAsia="es-CL"/>
          <w14:ligatures w14:val="none"/>
        </w:rPr>
        <w:t xml:space="preserve"> </w:t>
      </w:r>
      <w:r w:rsidR="0006621C">
        <w:rPr>
          <w:rFonts w:ascii="Arial" w:eastAsia="Times New Roman" w:hAnsi="Arial" w:cs="Arial"/>
          <w:b/>
          <w:bCs/>
          <w:color w:val="1F1F1F"/>
          <w:kern w:val="0"/>
          <w:bdr w:val="none" w:sz="0" w:space="0" w:color="auto" w:frame="1"/>
          <w:lang w:eastAsia="es-CL"/>
          <w14:ligatures w14:val="none"/>
        </w:rPr>
        <w:t>U</w:t>
      </w:r>
      <w:r w:rsidR="0006621C" w:rsidRPr="00472F44">
        <w:rPr>
          <w:rFonts w:ascii="Arial" w:eastAsia="Times New Roman" w:hAnsi="Arial" w:cs="Arial"/>
          <w:b/>
          <w:bCs/>
          <w:color w:val="1F1F1F"/>
          <w:kern w:val="0"/>
          <w:bdr w:val="none" w:sz="0" w:space="0" w:color="auto" w:frame="1"/>
          <w:lang w:eastAsia="es-CL"/>
          <w14:ligatures w14:val="none"/>
        </w:rPr>
        <w:t>na Comisión de Apelación Independiente</w:t>
      </w:r>
      <w:r w:rsidR="0006621C">
        <w:rPr>
          <w:rFonts w:ascii="Arial" w:eastAsia="Times New Roman" w:hAnsi="Arial" w:cs="Arial"/>
          <w:color w:val="1F1F1F"/>
          <w:kern w:val="0"/>
          <w:lang w:eastAsia="es-CL"/>
          <w14:ligatures w14:val="none"/>
        </w:rPr>
        <w:t xml:space="preserve"> debería tener las siguientes f</w:t>
      </w:r>
      <w:r w:rsidR="0006621C" w:rsidRPr="0006621C">
        <w:rPr>
          <w:rFonts w:ascii="Arial" w:eastAsia="Times New Roman" w:hAnsi="Arial" w:cs="Arial"/>
          <w:b/>
          <w:bCs/>
          <w:color w:val="1F1F1F"/>
          <w:kern w:val="0"/>
          <w:bdr w:val="none" w:sz="0" w:space="0" w:color="auto" w:frame="1"/>
          <w:lang w:eastAsia="es-CL"/>
          <w14:ligatures w14:val="none"/>
        </w:rPr>
        <w:t>unciones:</w:t>
      </w:r>
    </w:p>
    <w:p w14:paraId="27FF3B2D" w14:textId="544C1C05" w:rsidR="0006621C" w:rsidRPr="0006621C" w:rsidRDefault="0006621C" w:rsidP="000541F8">
      <w:pPr>
        <w:pStyle w:val="Prrafodelista"/>
        <w:numPr>
          <w:ilvl w:val="1"/>
          <w:numId w:val="10"/>
        </w:numPr>
        <w:spacing w:after="0" w:line="240" w:lineRule="auto"/>
        <w:jc w:val="both"/>
        <w:rPr>
          <w:rFonts w:ascii="Arial" w:eastAsia="Times New Roman" w:hAnsi="Arial" w:cs="Arial"/>
          <w:color w:val="1F1F1F"/>
          <w:kern w:val="0"/>
          <w:lang w:eastAsia="es-CL"/>
          <w14:ligatures w14:val="none"/>
        </w:rPr>
      </w:pPr>
      <w:r w:rsidRPr="0006621C">
        <w:rPr>
          <w:rFonts w:ascii="Arial" w:eastAsia="Times New Roman" w:hAnsi="Arial" w:cs="Arial"/>
          <w:b/>
          <w:bCs/>
          <w:color w:val="1F1F1F"/>
          <w:kern w:val="0"/>
          <w:bdr w:val="none" w:sz="0" w:space="0" w:color="auto" w:frame="1"/>
          <w:lang w:eastAsia="es-CL"/>
          <w14:ligatures w14:val="none"/>
        </w:rPr>
        <w:t>Revisión de Debido Proceso:</w:t>
      </w:r>
      <w:r w:rsidRPr="0006621C">
        <w:rPr>
          <w:rFonts w:ascii="Arial" w:eastAsia="Times New Roman" w:hAnsi="Arial" w:cs="Arial"/>
          <w:color w:val="1F1F1F"/>
          <w:kern w:val="0"/>
          <w:lang w:eastAsia="es-CL"/>
          <w14:ligatures w14:val="none"/>
        </w:rPr>
        <w:t xml:space="preserve"> Evaluar si en el proceso de jerarquización hubo vicios de procedimiento, arbitrariedad manifestada, discriminación o inobservancia de los reglamentos.</w:t>
      </w:r>
    </w:p>
    <w:p w14:paraId="058DF608" w14:textId="77777777" w:rsidR="0006621C" w:rsidRPr="00472F44" w:rsidRDefault="0006621C" w:rsidP="000541F8">
      <w:pPr>
        <w:numPr>
          <w:ilvl w:val="1"/>
          <w:numId w:val="10"/>
        </w:numPr>
        <w:spacing w:after="0" w:line="240" w:lineRule="auto"/>
        <w:jc w:val="both"/>
        <w:rPr>
          <w:rFonts w:ascii="Arial" w:eastAsia="Times New Roman" w:hAnsi="Arial" w:cs="Arial"/>
          <w:color w:val="1F1F1F"/>
          <w:kern w:val="0"/>
          <w:lang w:eastAsia="es-CL"/>
          <w14:ligatures w14:val="none"/>
        </w:rPr>
      </w:pPr>
      <w:r w:rsidRPr="00472F44">
        <w:rPr>
          <w:rFonts w:ascii="Arial" w:eastAsia="Times New Roman" w:hAnsi="Arial" w:cs="Arial"/>
          <w:b/>
          <w:bCs/>
          <w:color w:val="1F1F1F"/>
          <w:kern w:val="0"/>
          <w:bdr w:val="none" w:sz="0" w:space="0" w:color="auto" w:frame="1"/>
          <w:lang w:eastAsia="es-CL"/>
          <w14:ligatures w14:val="none"/>
        </w:rPr>
        <w:t>Garantía de Imparcialidad:</w:t>
      </w:r>
      <w:r w:rsidRPr="00472F44">
        <w:rPr>
          <w:rFonts w:ascii="Arial" w:eastAsia="Times New Roman" w:hAnsi="Arial" w:cs="Arial"/>
          <w:color w:val="1F1F1F"/>
          <w:kern w:val="0"/>
          <w:lang w:eastAsia="es-CL"/>
          <w14:ligatures w14:val="none"/>
        </w:rPr>
        <w:t xml:space="preserve"> Evitar que los mismos académicos que fijaron o ratificaron la norma/criterio inicial juzguen la validez de los reclamos contra sus propios acuerdos.</w:t>
      </w:r>
    </w:p>
    <w:p w14:paraId="32244BBA" w14:textId="77777777" w:rsidR="0006621C" w:rsidRPr="00472F44" w:rsidRDefault="0006621C" w:rsidP="000541F8">
      <w:pPr>
        <w:numPr>
          <w:ilvl w:val="1"/>
          <w:numId w:val="10"/>
        </w:numPr>
        <w:spacing w:after="0" w:line="240" w:lineRule="auto"/>
        <w:jc w:val="both"/>
        <w:rPr>
          <w:rFonts w:ascii="Arial" w:eastAsia="Times New Roman" w:hAnsi="Arial" w:cs="Arial"/>
          <w:color w:val="1F1F1F"/>
          <w:kern w:val="0"/>
          <w:lang w:eastAsia="es-CL"/>
          <w14:ligatures w14:val="none"/>
        </w:rPr>
      </w:pPr>
      <w:r w:rsidRPr="00472F44">
        <w:rPr>
          <w:rFonts w:ascii="Arial" w:eastAsia="Times New Roman" w:hAnsi="Arial" w:cs="Arial"/>
          <w:b/>
          <w:bCs/>
          <w:color w:val="1F1F1F"/>
          <w:kern w:val="0"/>
          <w:bdr w:val="none" w:sz="0" w:space="0" w:color="auto" w:frame="1"/>
          <w:lang w:eastAsia="es-CL"/>
          <w14:ligatures w14:val="none"/>
        </w:rPr>
        <w:t>Dictamen Vinculante u Orden de Reevaluación:</w:t>
      </w:r>
      <w:r w:rsidRPr="00472F44">
        <w:rPr>
          <w:rFonts w:ascii="Arial" w:eastAsia="Times New Roman" w:hAnsi="Arial" w:cs="Arial"/>
          <w:color w:val="1F1F1F"/>
          <w:kern w:val="0"/>
          <w:lang w:eastAsia="es-CL"/>
          <w14:ligatures w14:val="none"/>
        </w:rPr>
        <w:t xml:space="preserve"> En caso de acoger la apelación, la comisión independiente puede ordenar la </w:t>
      </w:r>
      <w:proofErr w:type="spellStart"/>
      <w:r w:rsidRPr="00472F44">
        <w:rPr>
          <w:rFonts w:ascii="Arial" w:eastAsia="Times New Roman" w:hAnsi="Arial" w:cs="Arial"/>
          <w:color w:val="1F1F1F"/>
          <w:kern w:val="0"/>
          <w:lang w:eastAsia="es-CL"/>
          <w14:ligatures w14:val="none"/>
        </w:rPr>
        <w:t>retrotramitación</w:t>
      </w:r>
      <w:proofErr w:type="spellEnd"/>
      <w:r w:rsidRPr="00472F44">
        <w:rPr>
          <w:rFonts w:ascii="Arial" w:eastAsia="Times New Roman" w:hAnsi="Arial" w:cs="Arial"/>
          <w:color w:val="1F1F1F"/>
          <w:kern w:val="0"/>
          <w:lang w:eastAsia="es-CL"/>
          <w14:ligatures w14:val="none"/>
        </w:rPr>
        <w:t xml:space="preserve"> de la postulación o devolver el expediente a una comisión constituida ad-hoc (sin los miembros inhabilitados) para un nuevo juzgamiento justo.</w:t>
      </w:r>
    </w:p>
    <w:p w14:paraId="52E18122" w14:textId="1E6634B1" w:rsidR="00332A80" w:rsidRPr="00AF0468" w:rsidRDefault="00332A80" w:rsidP="000541F8">
      <w:pPr>
        <w:spacing w:after="0" w:line="240" w:lineRule="auto"/>
        <w:ind w:left="720"/>
        <w:jc w:val="both"/>
        <w:rPr>
          <w:rFonts w:ascii="Arial" w:eastAsia="Times New Roman" w:hAnsi="Arial" w:cs="Arial"/>
          <w:color w:val="1F1F1F"/>
          <w:kern w:val="0"/>
          <w:lang w:eastAsia="es-CL"/>
          <w14:ligatures w14:val="none"/>
        </w:rPr>
      </w:pPr>
    </w:p>
    <w:p w14:paraId="3AEA7949" w14:textId="77777777" w:rsidR="00AF0468" w:rsidRPr="00AF0468" w:rsidRDefault="00AF0468" w:rsidP="000541F8">
      <w:pPr>
        <w:numPr>
          <w:ilvl w:val="0"/>
          <w:numId w:val="4"/>
        </w:numPr>
        <w:spacing w:after="0" w:line="240" w:lineRule="auto"/>
        <w:jc w:val="both"/>
        <w:rPr>
          <w:rFonts w:ascii="Arial" w:eastAsia="Times New Roman" w:hAnsi="Arial" w:cs="Arial"/>
          <w:color w:val="1F1F1F"/>
          <w:kern w:val="0"/>
          <w:lang w:eastAsia="es-CL"/>
          <w14:ligatures w14:val="none"/>
        </w:rPr>
      </w:pPr>
      <w:r w:rsidRPr="00AF0468">
        <w:rPr>
          <w:rFonts w:ascii="Arial" w:eastAsia="Times New Roman" w:hAnsi="Arial" w:cs="Arial"/>
          <w:b/>
          <w:bCs/>
          <w:color w:val="1F1F1F"/>
          <w:kern w:val="0"/>
          <w:bdr w:val="none" w:sz="0" w:space="0" w:color="auto" w:frame="1"/>
          <w:lang w:eastAsia="es-CL"/>
          <w14:ligatures w14:val="none"/>
        </w:rPr>
        <w:t>Clarificar las Normas Transitorias:</w:t>
      </w:r>
      <w:r w:rsidRPr="00AF0468">
        <w:rPr>
          <w:rFonts w:ascii="Arial" w:eastAsia="Times New Roman" w:hAnsi="Arial" w:cs="Arial"/>
          <w:color w:val="1F1F1F"/>
          <w:kern w:val="0"/>
          <w:lang w:eastAsia="es-CL"/>
          <w14:ligatures w14:val="none"/>
        </w:rPr>
        <w:t xml:space="preserve"> Revisar la degradación de categoría de "Profesor/a Asistente B" a "Instructor/a" para evitar posibles vicios de contencioso administrativo o laboral.</w:t>
      </w:r>
    </w:p>
    <w:p w14:paraId="503BBDB6" w14:textId="77777777" w:rsidR="00AF0468" w:rsidRPr="00AF0468" w:rsidRDefault="00AF0468" w:rsidP="000541F8">
      <w:pPr>
        <w:numPr>
          <w:ilvl w:val="0"/>
          <w:numId w:val="4"/>
        </w:numPr>
        <w:spacing w:after="0" w:line="240" w:lineRule="auto"/>
        <w:jc w:val="both"/>
        <w:rPr>
          <w:rFonts w:ascii="Arial" w:eastAsia="Times New Roman" w:hAnsi="Arial" w:cs="Arial"/>
          <w:color w:val="1F1F1F"/>
          <w:kern w:val="0"/>
          <w:lang w:eastAsia="es-CL"/>
          <w14:ligatures w14:val="none"/>
        </w:rPr>
      </w:pPr>
      <w:r w:rsidRPr="00AF0468">
        <w:rPr>
          <w:rFonts w:ascii="Arial" w:eastAsia="Times New Roman" w:hAnsi="Arial" w:cs="Arial"/>
          <w:b/>
          <w:bCs/>
          <w:color w:val="1F1F1F"/>
          <w:kern w:val="0"/>
          <w:bdr w:val="none" w:sz="0" w:space="0" w:color="auto" w:frame="1"/>
          <w:lang w:eastAsia="es-CL"/>
          <w14:ligatures w14:val="none"/>
        </w:rPr>
        <w:t>Establecer límites a las excepciones:</w:t>
      </w:r>
      <w:r w:rsidRPr="00AF0468">
        <w:rPr>
          <w:rFonts w:ascii="Arial" w:eastAsia="Times New Roman" w:hAnsi="Arial" w:cs="Arial"/>
          <w:color w:val="1F1F1F"/>
          <w:kern w:val="0"/>
          <w:lang w:eastAsia="es-CL"/>
          <w14:ligatures w14:val="none"/>
        </w:rPr>
        <w:t xml:space="preserve"> Delimitar taxativamente las facultades de excepción de la Vicerrectoría Académica para garantizar que las exenciones docentes o de tiempo de permanencia mantengan criterios de equidad e imparcialidad en toda la institución.</w:t>
      </w:r>
    </w:p>
    <w:p w14:paraId="159621B2" w14:textId="5D7AFD6B" w:rsidR="00952881" w:rsidRDefault="00952881" w:rsidP="000541F8">
      <w:pPr>
        <w:jc w:val="both"/>
        <w:rPr>
          <w:rFonts w:ascii="Arial" w:eastAsia="Times New Roman" w:hAnsi="Arial" w:cs="Arial"/>
          <w:color w:val="1F1F1F"/>
          <w:kern w:val="0"/>
          <w:lang w:eastAsia="es-CL"/>
          <w14:ligatures w14:val="none"/>
        </w:rPr>
      </w:pPr>
    </w:p>
    <w:p w14:paraId="32FB97C5" w14:textId="77777777" w:rsidR="00332A80" w:rsidRDefault="00332A80" w:rsidP="000541F8">
      <w:pPr>
        <w:jc w:val="both"/>
      </w:pPr>
    </w:p>
    <w:sectPr w:rsidR="00332A8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693628"/>
    <w:multiLevelType w:val="multilevel"/>
    <w:tmpl w:val="9FA2AE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D235C0"/>
    <w:multiLevelType w:val="hybridMultilevel"/>
    <w:tmpl w:val="80584B52"/>
    <w:lvl w:ilvl="0" w:tplc="096CF04A">
      <w:start w:val="1"/>
      <w:numFmt w:val="bullet"/>
      <w:lvlText w:val=""/>
      <w:lvlJc w:val="left"/>
      <w:pPr>
        <w:tabs>
          <w:tab w:val="num" w:pos="720"/>
        </w:tabs>
        <w:ind w:left="720" w:hanging="360"/>
      </w:pPr>
      <w:rPr>
        <w:rFonts w:ascii="Symbol" w:hAnsi="Symbol" w:hint="default"/>
        <w:sz w:val="20"/>
      </w:rPr>
    </w:lvl>
    <w:lvl w:ilvl="1" w:tplc="CD1057FE">
      <w:start w:val="1"/>
      <w:numFmt w:val="decimal"/>
      <w:lvlText w:val="%2."/>
      <w:lvlJc w:val="left"/>
      <w:pPr>
        <w:tabs>
          <w:tab w:val="num" w:pos="1440"/>
        </w:tabs>
        <w:ind w:left="1440" w:hanging="360"/>
      </w:pPr>
    </w:lvl>
    <w:lvl w:ilvl="2" w:tplc="003A227A" w:tentative="1">
      <w:start w:val="1"/>
      <w:numFmt w:val="bullet"/>
      <w:lvlText w:val=""/>
      <w:lvlJc w:val="left"/>
      <w:pPr>
        <w:tabs>
          <w:tab w:val="num" w:pos="2160"/>
        </w:tabs>
        <w:ind w:left="2160" w:hanging="360"/>
      </w:pPr>
      <w:rPr>
        <w:rFonts w:ascii="Wingdings" w:hAnsi="Wingdings" w:hint="default"/>
        <w:sz w:val="20"/>
      </w:rPr>
    </w:lvl>
    <w:lvl w:ilvl="3" w:tplc="E7A07A60" w:tentative="1">
      <w:start w:val="1"/>
      <w:numFmt w:val="bullet"/>
      <w:lvlText w:val=""/>
      <w:lvlJc w:val="left"/>
      <w:pPr>
        <w:tabs>
          <w:tab w:val="num" w:pos="2880"/>
        </w:tabs>
        <w:ind w:left="2880" w:hanging="360"/>
      </w:pPr>
      <w:rPr>
        <w:rFonts w:ascii="Wingdings" w:hAnsi="Wingdings" w:hint="default"/>
        <w:sz w:val="20"/>
      </w:rPr>
    </w:lvl>
    <w:lvl w:ilvl="4" w:tplc="53D2F334" w:tentative="1">
      <w:start w:val="1"/>
      <w:numFmt w:val="bullet"/>
      <w:lvlText w:val=""/>
      <w:lvlJc w:val="left"/>
      <w:pPr>
        <w:tabs>
          <w:tab w:val="num" w:pos="3600"/>
        </w:tabs>
        <w:ind w:left="3600" w:hanging="360"/>
      </w:pPr>
      <w:rPr>
        <w:rFonts w:ascii="Wingdings" w:hAnsi="Wingdings" w:hint="default"/>
        <w:sz w:val="20"/>
      </w:rPr>
    </w:lvl>
    <w:lvl w:ilvl="5" w:tplc="AE683E2A" w:tentative="1">
      <w:start w:val="1"/>
      <w:numFmt w:val="bullet"/>
      <w:lvlText w:val=""/>
      <w:lvlJc w:val="left"/>
      <w:pPr>
        <w:tabs>
          <w:tab w:val="num" w:pos="4320"/>
        </w:tabs>
        <w:ind w:left="4320" w:hanging="360"/>
      </w:pPr>
      <w:rPr>
        <w:rFonts w:ascii="Wingdings" w:hAnsi="Wingdings" w:hint="default"/>
        <w:sz w:val="20"/>
      </w:rPr>
    </w:lvl>
    <w:lvl w:ilvl="6" w:tplc="62389754" w:tentative="1">
      <w:start w:val="1"/>
      <w:numFmt w:val="bullet"/>
      <w:lvlText w:val=""/>
      <w:lvlJc w:val="left"/>
      <w:pPr>
        <w:tabs>
          <w:tab w:val="num" w:pos="5040"/>
        </w:tabs>
        <w:ind w:left="5040" w:hanging="360"/>
      </w:pPr>
      <w:rPr>
        <w:rFonts w:ascii="Wingdings" w:hAnsi="Wingdings" w:hint="default"/>
        <w:sz w:val="20"/>
      </w:rPr>
    </w:lvl>
    <w:lvl w:ilvl="7" w:tplc="02BEAD6A" w:tentative="1">
      <w:start w:val="1"/>
      <w:numFmt w:val="bullet"/>
      <w:lvlText w:val=""/>
      <w:lvlJc w:val="left"/>
      <w:pPr>
        <w:tabs>
          <w:tab w:val="num" w:pos="5760"/>
        </w:tabs>
        <w:ind w:left="5760" w:hanging="360"/>
      </w:pPr>
      <w:rPr>
        <w:rFonts w:ascii="Wingdings" w:hAnsi="Wingdings" w:hint="default"/>
        <w:sz w:val="20"/>
      </w:rPr>
    </w:lvl>
    <w:lvl w:ilvl="8" w:tplc="39E46762"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216415"/>
    <w:multiLevelType w:val="multilevel"/>
    <w:tmpl w:val="79423E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283B80"/>
    <w:multiLevelType w:val="multilevel"/>
    <w:tmpl w:val="DD80FA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D573B46"/>
    <w:multiLevelType w:val="multilevel"/>
    <w:tmpl w:val="3C2265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805377"/>
    <w:multiLevelType w:val="hybridMultilevel"/>
    <w:tmpl w:val="5508AC96"/>
    <w:lvl w:ilvl="0" w:tplc="95FEC2BE">
      <w:start w:val="1"/>
      <w:numFmt w:val="bullet"/>
      <w:lvlText w:val=""/>
      <w:lvlJc w:val="left"/>
      <w:pPr>
        <w:tabs>
          <w:tab w:val="num" w:pos="720"/>
        </w:tabs>
        <w:ind w:left="720" w:hanging="360"/>
      </w:pPr>
      <w:rPr>
        <w:rFonts w:ascii="Symbol" w:hAnsi="Symbol" w:hint="default"/>
        <w:sz w:val="20"/>
      </w:rPr>
    </w:lvl>
    <w:lvl w:ilvl="1" w:tplc="92040762">
      <w:start w:val="1"/>
      <w:numFmt w:val="lowerRoman"/>
      <w:lvlText w:val="%2)"/>
      <w:lvlJc w:val="left"/>
      <w:pPr>
        <w:tabs>
          <w:tab w:val="num" w:pos="1440"/>
        </w:tabs>
        <w:ind w:left="1440" w:hanging="360"/>
      </w:pPr>
      <w:rPr>
        <w:rFonts w:ascii="Arial" w:eastAsia="Times New Roman" w:hAnsi="Arial" w:cs="Arial"/>
      </w:rPr>
    </w:lvl>
    <w:lvl w:ilvl="2" w:tplc="38D6B278" w:tentative="1">
      <w:start w:val="1"/>
      <w:numFmt w:val="bullet"/>
      <w:lvlText w:val=""/>
      <w:lvlJc w:val="left"/>
      <w:pPr>
        <w:tabs>
          <w:tab w:val="num" w:pos="2160"/>
        </w:tabs>
        <w:ind w:left="2160" w:hanging="360"/>
      </w:pPr>
      <w:rPr>
        <w:rFonts w:ascii="Wingdings" w:hAnsi="Wingdings" w:hint="default"/>
        <w:sz w:val="20"/>
      </w:rPr>
    </w:lvl>
    <w:lvl w:ilvl="3" w:tplc="42FAF4E8" w:tentative="1">
      <w:start w:val="1"/>
      <w:numFmt w:val="bullet"/>
      <w:lvlText w:val=""/>
      <w:lvlJc w:val="left"/>
      <w:pPr>
        <w:tabs>
          <w:tab w:val="num" w:pos="2880"/>
        </w:tabs>
        <w:ind w:left="2880" w:hanging="360"/>
      </w:pPr>
      <w:rPr>
        <w:rFonts w:ascii="Wingdings" w:hAnsi="Wingdings" w:hint="default"/>
        <w:sz w:val="20"/>
      </w:rPr>
    </w:lvl>
    <w:lvl w:ilvl="4" w:tplc="041044DE" w:tentative="1">
      <w:start w:val="1"/>
      <w:numFmt w:val="bullet"/>
      <w:lvlText w:val=""/>
      <w:lvlJc w:val="left"/>
      <w:pPr>
        <w:tabs>
          <w:tab w:val="num" w:pos="3600"/>
        </w:tabs>
        <w:ind w:left="3600" w:hanging="360"/>
      </w:pPr>
      <w:rPr>
        <w:rFonts w:ascii="Wingdings" w:hAnsi="Wingdings" w:hint="default"/>
        <w:sz w:val="20"/>
      </w:rPr>
    </w:lvl>
    <w:lvl w:ilvl="5" w:tplc="529EFAF4" w:tentative="1">
      <w:start w:val="1"/>
      <w:numFmt w:val="bullet"/>
      <w:lvlText w:val=""/>
      <w:lvlJc w:val="left"/>
      <w:pPr>
        <w:tabs>
          <w:tab w:val="num" w:pos="4320"/>
        </w:tabs>
        <w:ind w:left="4320" w:hanging="360"/>
      </w:pPr>
      <w:rPr>
        <w:rFonts w:ascii="Wingdings" w:hAnsi="Wingdings" w:hint="default"/>
        <w:sz w:val="20"/>
      </w:rPr>
    </w:lvl>
    <w:lvl w:ilvl="6" w:tplc="0EF2CE3E" w:tentative="1">
      <w:start w:val="1"/>
      <w:numFmt w:val="bullet"/>
      <w:lvlText w:val=""/>
      <w:lvlJc w:val="left"/>
      <w:pPr>
        <w:tabs>
          <w:tab w:val="num" w:pos="5040"/>
        </w:tabs>
        <w:ind w:left="5040" w:hanging="360"/>
      </w:pPr>
      <w:rPr>
        <w:rFonts w:ascii="Wingdings" w:hAnsi="Wingdings" w:hint="default"/>
        <w:sz w:val="20"/>
      </w:rPr>
    </w:lvl>
    <w:lvl w:ilvl="7" w:tplc="C25610F0" w:tentative="1">
      <w:start w:val="1"/>
      <w:numFmt w:val="bullet"/>
      <w:lvlText w:val=""/>
      <w:lvlJc w:val="left"/>
      <w:pPr>
        <w:tabs>
          <w:tab w:val="num" w:pos="5760"/>
        </w:tabs>
        <w:ind w:left="5760" w:hanging="360"/>
      </w:pPr>
      <w:rPr>
        <w:rFonts w:ascii="Wingdings" w:hAnsi="Wingdings" w:hint="default"/>
        <w:sz w:val="20"/>
      </w:rPr>
    </w:lvl>
    <w:lvl w:ilvl="8" w:tplc="06203496"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5B747C"/>
    <w:multiLevelType w:val="multilevel"/>
    <w:tmpl w:val="F4AE5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BF203B"/>
    <w:multiLevelType w:val="multilevel"/>
    <w:tmpl w:val="591A9E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86536A"/>
    <w:multiLevelType w:val="multilevel"/>
    <w:tmpl w:val="C0FAD5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E876D7"/>
    <w:multiLevelType w:val="multilevel"/>
    <w:tmpl w:val="AA6453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5184304">
    <w:abstractNumId w:val="7"/>
  </w:num>
  <w:num w:numId="2" w16cid:durableId="712733719">
    <w:abstractNumId w:val="2"/>
  </w:num>
  <w:num w:numId="3" w16cid:durableId="2069575758">
    <w:abstractNumId w:val="9"/>
  </w:num>
  <w:num w:numId="4" w16cid:durableId="129709949">
    <w:abstractNumId w:val="3"/>
  </w:num>
  <w:num w:numId="5" w16cid:durableId="198859930">
    <w:abstractNumId w:val="0"/>
  </w:num>
  <w:num w:numId="6" w16cid:durableId="136265310">
    <w:abstractNumId w:val="6"/>
  </w:num>
  <w:num w:numId="7" w16cid:durableId="344480771">
    <w:abstractNumId w:val="4"/>
  </w:num>
  <w:num w:numId="8" w16cid:durableId="1025521907">
    <w:abstractNumId w:val="1"/>
  </w:num>
  <w:num w:numId="9" w16cid:durableId="1122848574">
    <w:abstractNumId w:val="8"/>
  </w:num>
  <w:num w:numId="10" w16cid:durableId="17469939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881"/>
    <w:rsid w:val="000541F8"/>
    <w:rsid w:val="0006621C"/>
    <w:rsid w:val="002337EE"/>
    <w:rsid w:val="00313EB3"/>
    <w:rsid w:val="00332A80"/>
    <w:rsid w:val="00472F44"/>
    <w:rsid w:val="00544CB9"/>
    <w:rsid w:val="006B1C68"/>
    <w:rsid w:val="00952881"/>
    <w:rsid w:val="00AF0468"/>
    <w:rsid w:val="00C04FA3"/>
    <w:rsid w:val="00F35605"/>
    <w:rsid w:val="00F5229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89BBF"/>
  <w15:chartTrackingRefBased/>
  <w15:docId w15:val="{9CF0EF00-950A-4CA1-8404-9ABD69842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229D"/>
  </w:style>
  <w:style w:type="paragraph" w:styleId="Ttulo1">
    <w:name w:val="heading 1"/>
    <w:basedOn w:val="Normal"/>
    <w:next w:val="Normal"/>
    <w:link w:val="Ttulo1Car"/>
    <w:uiPriority w:val="9"/>
    <w:qFormat/>
    <w:rsid w:val="009528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528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5288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5288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5288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5288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5288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5288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5288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5288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5288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5288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5288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5288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5288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5288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5288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52881"/>
    <w:rPr>
      <w:rFonts w:eastAsiaTheme="majorEastAsia" w:cstheme="majorBidi"/>
      <w:color w:val="272727" w:themeColor="text1" w:themeTint="D8"/>
    </w:rPr>
  </w:style>
  <w:style w:type="paragraph" w:styleId="Ttulo">
    <w:name w:val="Title"/>
    <w:basedOn w:val="Normal"/>
    <w:next w:val="Normal"/>
    <w:link w:val="TtuloCar"/>
    <w:uiPriority w:val="10"/>
    <w:qFormat/>
    <w:rsid w:val="009528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5288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5288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5288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52881"/>
    <w:pPr>
      <w:spacing w:before="160"/>
      <w:jc w:val="center"/>
    </w:pPr>
    <w:rPr>
      <w:i/>
      <w:iCs/>
      <w:color w:val="404040" w:themeColor="text1" w:themeTint="BF"/>
    </w:rPr>
  </w:style>
  <w:style w:type="character" w:customStyle="1" w:styleId="CitaCar">
    <w:name w:val="Cita Car"/>
    <w:basedOn w:val="Fuentedeprrafopredeter"/>
    <w:link w:val="Cita"/>
    <w:uiPriority w:val="29"/>
    <w:rsid w:val="00952881"/>
    <w:rPr>
      <w:i/>
      <w:iCs/>
      <w:color w:val="404040" w:themeColor="text1" w:themeTint="BF"/>
    </w:rPr>
  </w:style>
  <w:style w:type="paragraph" w:styleId="Prrafodelista">
    <w:name w:val="List Paragraph"/>
    <w:basedOn w:val="Normal"/>
    <w:uiPriority w:val="34"/>
    <w:qFormat/>
    <w:rsid w:val="00952881"/>
    <w:pPr>
      <w:ind w:left="720"/>
      <w:contextualSpacing/>
    </w:pPr>
  </w:style>
  <w:style w:type="character" w:styleId="nfasisintenso">
    <w:name w:val="Intense Emphasis"/>
    <w:basedOn w:val="Fuentedeprrafopredeter"/>
    <w:uiPriority w:val="21"/>
    <w:qFormat/>
    <w:rsid w:val="00952881"/>
    <w:rPr>
      <w:i/>
      <w:iCs/>
      <w:color w:val="0F4761" w:themeColor="accent1" w:themeShade="BF"/>
    </w:rPr>
  </w:style>
  <w:style w:type="paragraph" w:styleId="Citadestacada">
    <w:name w:val="Intense Quote"/>
    <w:basedOn w:val="Normal"/>
    <w:next w:val="Normal"/>
    <w:link w:val="CitadestacadaCar"/>
    <w:uiPriority w:val="30"/>
    <w:qFormat/>
    <w:rsid w:val="009528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52881"/>
    <w:rPr>
      <w:i/>
      <w:iCs/>
      <w:color w:val="0F4761" w:themeColor="accent1" w:themeShade="BF"/>
    </w:rPr>
  </w:style>
  <w:style w:type="character" w:styleId="Referenciaintensa">
    <w:name w:val="Intense Reference"/>
    <w:basedOn w:val="Fuentedeprrafopredeter"/>
    <w:uiPriority w:val="32"/>
    <w:qFormat/>
    <w:rsid w:val="0095288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3669198">
      <w:bodyDiv w:val="1"/>
      <w:marLeft w:val="0"/>
      <w:marRight w:val="0"/>
      <w:marTop w:val="0"/>
      <w:marBottom w:val="0"/>
      <w:divBdr>
        <w:top w:val="none" w:sz="0" w:space="0" w:color="auto"/>
        <w:left w:val="none" w:sz="0" w:space="0" w:color="auto"/>
        <w:bottom w:val="none" w:sz="0" w:space="0" w:color="auto"/>
        <w:right w:val="none" w:sz="0" w:space="0" w:color="auto"/>
      </w:divBdr>
    </w:div>
    <w:div w:id="2116704395">
      <w:bodyDiv w:val="1"/>
      <w:marLeft w:val="0"/>
      <w:marRight w:val="0"/>
      <w:marTop w:val="0"/>
      <w:marBottom w:val="0"/>
      <w:divBdr>
        <w:top w:val="none" w:sz="0" w:space="0" w:color="auto"/>
        <w:left w:val="none" w:sz="0" w:space="0" w:color="auto"/>
        <w:bottom w:val="none" w:sz="0" w:space="0" w:color="auto"/>
        <w:right w:val="none" w:sz="0" w:space="0" w:color="auto"/>
      </w:divBdr>
      <w:divsChild>
        <w:div w:id="19923200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94</TotalTime>
  <Pages>3</Pages>
  <Words>1123</Words>
  <Characters>6177</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3</cp:revision>
  <dcterms:created xsi:type="dcterms:W3CDTF">2026-08-10T15:04:00Z</dcterms:created>
  <dcterms:modified xsi:type="dcterms:W3CDTF">2026-08-10T16:26:00Z</dcterms:modified>
</cp:coreProperties>
</file>